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7A70" w:rsidRPr="00190858" w:rsidRDefault="00837A70">
      <w:pPr>
        <w:rPr>
          <w:b/>
        </w:rPr>
      </w:pPr>
      <w:r w:rsidRPr="00190858">
        <w:rPr>
          <w:b/>
        </w:rPr>
        <w:t xml:space="preserve">PROPOSICIÓN No. </w:t>
      </w:r>
      <w:r w:rsidRPr="00190858">
        <w:rPr>
          <w:b/>
        </w:rPr>
        <w:t xml:space="preserve"> 591 </w:t>
      </w:r>
      <w:r w:rsidRPr="00190858">
        <w:rPr>
          <w:b/>
        </w:rPr>
        <w:t>DE 2025</w:t>
      </w:r>
    </w:p>
    <w:p w:rsidR="00837A70" w:rsidRDefault="00837A70">
      <w:pPr>
        <w:rPr>
          <w:b/>
        </w:rPr>
      </w:pPr>
      <w:r w:rsidRPr="00190858">
        <w:rPr>
          <w:b/>
        </w:rPr>
        <w:t>CUESTIONARIO</w:t>
      </w:r>
    </w:p>
    <w:p w:rsidR="00190858" w:rsidRPr="00190858" w:rsidRDefault="00190858">
      <w:pPr>
        <w:rPr>
          <w:b/>
        </w:rPr>
      </w:pPr>
    </w:p>
    <w:p w:rsidR="00837A70" w:rsidRPr="00EF68A8" w:rsidRDefault="00837A70" w:rsidP="00EF68A8">
      <w:pPr>
        <w:jc w:val="both"/>
        <w:rPr>
          <w:rFonts w:ascii="Arial" w:eastAsia="Calibri" w:hAnsi="Arial" w:cs="Arial"/>
          <w:b/>
          <w:lang w:eastAsia="es-ES"/>
        </w:rPr>
      </w:pPr>
      <w:r w:rsidRPr="00EF68A8">
        <w:rPr>
          <w:rFonts w:ascii="Arial" w:eastAsia="Calibri" w:hAnsi="Arial" w:cs="Arial"/>
          <w:b/>
          <w:lang w:eastAsia="es-ES"/>
        </w:rPr>
        <w:t xml:space="preserve">9. </w:t>
      </w:r>
      <w:r w:rsidRPr="00EF68A8">
        <w:rPr>
          <w:rFonts w:ascii="Arial" w:eastAsia="Calibri" w:hAnsi="Arial" w:cs="Arial"/>
          <w:b/>
          <w:lang w:eastAsia="es-ES"/>
        </w:rPr>
        <w:t>Presente un informe detallado sobre el total de requerimientos radicados por parte de usuarios (PQRS) ante la Subred Integrada de Servicios de Salud Centro Oriente, mes a mes, para las vigencias 2023-2025. En este caso precise tipo de requerimiento presentado.</w:t>
      </w:r>
    </w:p>
    <w:p w:rsidR="00003959" w:rsidRPr="00003959" w:rsidRDefault="00003959">
      <w:pPr>
        <w:rPr>
          <w:b/>
        </w:rPr>
      </w:pPr>
      <w:r w:rsidRPr="00003959">
        <w:rPr>
          <w:b/>
        </w:rPr>
        <w:t xml:space="preserve">TIPOLOGIAS POR AÑO </w:t>
      </w:r>
    </w:p>
    <w:p w:rsidR="00003959" w:rsidRPr="00003959" w:rsidRDefault="00003959">
      <w:pPr>
        <w:rPr>
          <w:b/>
        </w:rPr>
      </w:pPr>
      <w:r w:rsidRPr="00003959">
        <w:rPr>
          <w:b/>
        </w:rPr>
        <w:t>AÑO 2023</w:t>
      </w:r>
    </w:p>
    <w:p w:rsidR="00190858" w:rsidRDefault="00190858" w:rsidP="00190858">
      <w:pPr>
        <w:spacing w:line="240" w:lineRule="auto"/>
        <w:rPr>
          <w:rFonts w:ascii="Arial" w:eastAsia="Calibri" w:hAnsi="Arial" w:cs="Arial"/>
        </w:rPr>
      </w:pPr>
      <w:r w:rsidRPr="00991829">
        <w:rPr>
          <w:rFonts w:ascii="Arial" w:eastAsia="Calibri" w:hAnsi="Arial" w:cs="Arial"/>
        </w:rPr>
        <w:t>Durante el año 202</w:t>
      </w:r>
      <w:r>
        <w:rPr>
          <w:rFonts w:ascii="Arial" w:eastAsia="Calibri" w:hAnsi="Arial" w:cs="Arial"/>
        </w:rPr>
        <w:t>3</w:t>
      </w:r>
      <w:r w:rsidRPr="00991829">
        <w:rPr>
          <w:rFonts w:ascii="Arial" w:eastAsia="Calibri" w:hAnsi="Arial" w:cs="Arial"/>
        </w:rPr>
        <w:t xml:space="preserve">, ingresaron </w:t>
      </w:r>
      <w:r>
        <w:rPr>
          <w:rFonts w:ascii="Arial" w:eastAsia="Calibri" w:hAnsi="Arial" w:cs="Arial"/>
        </w:rPr>
        <w:t>6.103</w:t>
      </w:r>
      <w:r w:rsidRPr="00991829">
        <w:rPr>
          <w:rFonts w:ascii="Arial" w:eastAsia="Calibri" w:hAnsi="Arial" w:cs="Arial"/>
        </w:rPr>
        <w:t xml:space="preserve"> requerimientos a la subred Integrada de Servicios de Salud Centro Oriente</w:t>
      </w:r>
    </w:p>
    <w:p w:rsidR="00190858" w:rsidRPr="00190858" w:rsidRDefault="00190858" w:rsidP="00190858">
      <w:pPr>
        <w:spacing w:after="0" w:line="240" w:lineRule="auto"/>
        <w:jc w:val="both"/>
        <w:rPr>
          <w:rFonts w:ascii="Arial" w:eastAsia="Calibri" w:hAnsi="Arial" w:cs="Arial"/>
          <w:lang w:eastAsia="es-ES"/>
        </w:rPr>
      </w:pPr>
    </w:p>
    <w:p w:rsidR="00003959" w:rsidRDefault="00190858">
      <w:r w:rsidRPr="00D107A7">
        <w:rPr>
          <w:rFonts w:ascii="Arial" w:eastAsia="Calibri" w:hAnsi="Arial" w:cs="Arial"/>
          <w:noProof/>
        </w:rPr>
        <w:drawing>
          <wp:inline distT="0" distB="0" distL="0" distR="0" wp14:anchorId="737792AE" wp14:editId="4D4311B9">
            <wp:extent cx="5612130" cy="1812898"/>
            <wp:effectExtent l="0" t="0" r="7620" b="16510"/>
            <wp:docPr id="1" name="Gráfico 1">
              <a:extLst xmlns:a="http://schemas.openxmlformats.org/drawingml/2006/main">
                <a:ext uri="{FF2B5EF4-FFF2-40B4-BE49-F238E27FC236}">
                  <a16:creationId xmlns:a16="http://schemas.microsoft.com/office/drawing/2014/main" id="{72B623AB-CD3C-414C-BCA0-5CDDC4E0904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190858" w:rsidRDefault="00190858" w:rsidP="00190858">
      <w:pPr>
        <w:spacing w:after="0" w:line="240" w:lineRule="auto"/>
        <w:jc w:val="both"/>
        <w:rPr>
          <w:rFonts w:ascii="Arial" w:eastAsia="Calibri" w:hAnsi="Arial" w:cs="Arial"/>
          <w:lang w:eastAsia="es-ES"/>
        </w:rPr>
      </w:pPr>
      <w:r w:rsidRPr="00190858">
        <w:rPr>
          <w:rFonts w:ascii="Arial" w:eastAsia="Calibri" w:hAnsi="Arial" w:cs="Arial"/>
          <w:lang w:eastAsia="es-ES"/>
        </w:rPr>
        <w:t>De acuerdo con la gráfica anterior, la distribución de los 6.103 requerimientos se presentó así durante los 12 meses del año: 440 requerimientos ingresaron en el mes de enero que corresponde al 7.2% del total, en el mes de febrero ingresaron 534 requerimientos, que son el 8.7%, en el mes de marzo se registraron 565 manifestaciones que representan el 9.3% del total del 2023. Durante abril se recepcionaron 411 peticiones (6.7%), en mayo 572 expresiones (9.4%), junio referencia 552 requerimientos (9.0%), julio lo hace con 574 solicitudes para un 9.4%, el 8.3%  corresponde a 505 requerimientos del mes de agosto, para septiembre, la proporción se observa así: 524 expresiones – 8.6%, octubre, noviembre y diciembre, tuvieron el siguiente comportamiento en peticiones vs porcentaje respectivamente, 535 que representa el 8.8%, 440 correspondiente al 7.2% y 451 que representa el 7.4%.</w:t>
      </w:r>
    </w:p>
    <w:p w:rsidR="00190858" w:rsidRDefault="00190858"/>
    <w:p w:rsidR="00003959" w:rsidRDefault="00003959">
      <w:r w:rsidRPr="00CB2190">
        <w:rPr>
          <w:rFonts w:ascii="Arial" w:eastAsia="Calibri" w:hAnsi="Arial" w:cs="Arial"/>
          <w:noProof/>
        </w:rPr>
        <w:lastRenderedPageBreak/>
        <w:drawing>
          <wp:inline distT="0" distB="0" distL="0" distR="0" wp14:anchorId="232E08F4" wp14:editId="381A36D5">
            <wp:extent cx="5612130" cy="3355451"/>
            <wp:effectExtent l="0" t="0" r="7620" b="16510"/>
            <wp:docPr id="10" name="Gráfico 10">
              <a:extLst xmlns:a="http://schemas.openxmlformats.org/drawingml/2006/main">
                <a:ext uri="{FF2B5EF4-FFF2-40B4-BE49-F238E27FC236}">
                  <a16:creationId xmlns:a16="http://schemas.microsoft.com/office/drawing/2014/main" id="{FE546D6E-053D-4817-93DB-9A6FB3BB897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003959" w:rsidRPr="00003959" w:rsidRDefault="00003959" w:rsidP="00003959">
      <w:pPr>
        <w:spacing w:after="0" w:line="240" w:lineRule="auto"/>
        <w:jc w:val="both"/>
        <w:rPr>
          <w:rFonts w:ascii="Arial" w:eastAsia="Calibri" w:hAnsi="Arial" w:cs="Arial"/>
        </w:rPr>
      </w:pPr>
      <w:r w:rsidRPr="00003959">
        <w:rPr>
          <w:rFonts w:ascii="Arial" w:eastAsia="Calibri" w:hAnsi="Arial" w:cs="Arial"/>
        </w:rPr>
        <w:t xml:space="preserve">Para el año 2023 a la subred, ingresaron 2.750 reclamos, que representan el 45.1%, del total de los requerimientos recibidos durante este periodo, seguido de 1.623 derechos de petición de interés particular con un 26.6%, el tercer lugar lo ocupan 829 quejas con un 13.6%,   le siguen 673 felicitaciones con 11%, en quinto lugar se encuentran las solicitudes de Información (76) con 1.2%, 64 Solicitud de copia , que representan el 1.0%, le siguen 63 Derechos de petición de interés general que constituyen el 1.0%, en noveno lugar, se ubican 19 denuncias que representan un 0.3%, y por ultimo las sugerencias y las Consultas  con  3 requerimientos para c/u que les representa el 0,0%. </w:t>
      </w:r>
    </w:p>
    <w:p w:rsidR="00190858" w:rsidRDefault="00190858">
      <w:pPr>
        <w:rPr>
          <w:b/>
        </w:rPr>
      </w:pPr>
      <w:r w:rsidRPr="00190858">
        <w:rPr>
          <w:b/>
        </w:rPr>
        <w:t>AÑO 2024</w:t>
      </w:r>
    </w:p>
    <w:p w:rsidR="00140A32" w:rsidRDefault="00140A32" w:rsidP="00140A32">
      <w:pPr>
        <w:spacing w:after="0" w:line="240" w:lineRule="auto"/>
        <w:rPr>
          <w:rFonts w:ascii="Arial" w:eastAsia="Calibri" w:hAnsi="Arial" w:cs="Arial"/>
        </w:rPr>
      </w:pPr>
      <w:r w:rsidRPr="00140A32">
        <w:rPr>
          <w:rFonts w:ascii="Arial" w:eastAsia="Calibri" w:hAnsi="Arial" w:cs="Arial"/>
        </w:rPr>
        <w:t>Durante el año 2024, ingresaron 6.121 requerimientos a la subred Integrada de Servicios de Salud Centro Oriente</w:t>
      </w:r>
    </w:p>
    <w:p w:rsidR="00EF68A8" w:rsidRPr="00140A32" w:rsidRDefault="00EF68A8" w:rsidP="00140A32">
      <w:pPr>
        <w:spacing w:after="0" w:line="240" w:lineRule="auto"/>
        <w:rPr>
          <w:rFonts w:ascii="Arial" w:eastAsia="Calibri" w:hAnsi="Arial" w:cs="Arial"/>
        </w:rPr>
      </w:pPr>
    </w:p>
    <w:p w:rsidR="00140A32" w:rsidRPr="00140A32" w:rsidRDefault="00140A32" w:rsidP="00140A32">
      <w:pPr>
        <w:spacing w:after="0" w:line="240" w:lineRule="auto"/>
        <w:rPr>
          <w:rFonts w:ascii="Arial" w:eastAsia="Calibri" w:hAnsi="Arial" w:cs="Arial"/>
        </w:rPr>
      </w:pPr>
      <w:r w:rsidRPr="00140A32">
        <w:rPr>
          <w:rFonts w:ascii="Times New Roman" w:eastAsia="Arial Unicode MS" w:hAnsi="Times New Roman" w:cs="Tahoma"/>
          <w:noProof/>
          <w:color w:val="00000A"/>
          <w:sz w:val="24"/>
          <w:szCs w:val="24"/>
          <w:bdr w:val="thinThickSmallGap" w:sz="24" w:space="0" w:color="auto" w:frame="1"/>
          <w:lang w:eastAsia="es-CO"/>
        </w:rPr>
        <w:drawing>
          <wp:inline distT="0" distB="0" distL="0" distR="0" wp14:anchorId="08B16ED2" wp14:editId="19F52943">
            <wp:extent cx="5364480" cy="2218413"/>
            <wp:effectExtent l="0" t="0" r="7620" b="10795"/>
            <wp:docPr id="1334100585" name="Gráfico 1">
              <a:extLst xmlns:a="http://schemas.openxmlformats.org/drawingml/2006/main">
                <a:ext uri="{FF2B5EF4-FFF2-40B4-BE49-F238E27FC236}">
                  <a16:creationId xmlns:a16="http://schemas.microsoft.com/office/drawing/2014/main" id="{DF7C5E85-98C4-31AB-369A-E3596B91F3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140A32" w:rsidRPr="00140A32" w:rsidRDefault="00140A32" w:rsidP="00140A32">
      <w:pPr>
        <w:spacing w:after="0" w:line="240" w:lineRule="auto"/>
        <w:rPr>
          <w:rFonts w:ascii="Arial" w:eastAsia="Calibri" w:hAnsi="Arial" w:cs="Arial"/>
        </w:rPr>
      </w:pPr>
      <w:r w:rsidRPr="00140A32">
        <w:rPr>
          <w:rFonts w:ascii="Calibri" w:eastAsia="Calibri" w:hAnsi="Calibri" w:cs="Times New Roman"/>
        </w:rPr>
        <w:t xml:space="preserve">         </w:t>
      </w:r>
      <w:r w:rsidRPr="00140A32">
        <w:rPr>
          <w:rFonts w:ascii="Arial" w:eastAsia="Calibri" w:hAnsi="Arial" w:cs="Arial"/>
          <w:sz w:val="16"/>
          <w:szCs w:val="16"/>
          <w:lang w:eastAsia="es-ES"/>
        </w:rPr>
        <w:t>Fuente: Reporte aplicativo SDGPC Subred Integrada de Servicios de Salud Centro Oriente</w:t>
      </w:r>
    </w:p>
    <w:p w:rsidR="00140A32" w:rsidRPr="00140A32" w:rsidRDefault="00140A32" w:rsidP="00140A32">
      <w:pPr>
        <w:spacing w:after="0" w:line="240" w:lineRule="auto"/>
        <w:rPr>
          <w:rFonts w:ascii="Arial" w:eastAsia="Calibri" w:hAnsi="Arial" w:cs="Arial"/>
          <w:lang w:eastAsia="es-ES"/>
        </w:rPr>
      </w:pPr>
    </w:p>
    <w:p w:rsidR="00140A32" w:rsidRPr="00140A32" w:rsidRDefault="00140A32" w:rsidP="00140A32">
      <w:pPr>
        <w:spacing w:after="0" w:line="240" w:lineRule="auto"/>
        <w:jc w:val="both"/>
        <w:rPr>
          <w:rFonts w:ascii="Arial" w:eastAsia="Calibri" w:hAnsi="Arial" w:cs="Arial"/>
          <w:lang w:eastAsia="es-ES"/>
        </w:rPr>
      </w:pPr>
      <w:r w:rsidRPr="00140A32">
        <w:rPr>
          <w:rFonts w:ascii="Arial" w:eastAsia="Calibri" w:hAnsi="Arial" w:cs="Arial"/>
          <w:lang w:eastAsia="es-ES"/>
        </w:rPr>
        <w:lastRenderedPageBreak/>
        <w:t>De acuerdo con la gráfica anterior, la distribución de los 6.121 requerimientos se presentó así, durante los 12 meses del año: 461 requerimientos ingresaron en el mes de enero que corresponde al 7.5% del total, en el mes de febrero ingresaron 520 requerimientos, que son el 8.5%, en el mes de marzo se registraron 534 manifestaciones que representan el 8.7% del total del 2024. Durante abril se recepcionaron 618 peticiones (10.1%), en mayo 506 expresiones (8.3%), junio referencia 399 requerimientos (6.5%), julio lo hace con 583 solicitudes para un 9.5%, el 8.4%  corresponde a 516 requerimientos del mes de agosto, para septiembre, la proporción se observa así: 517 expresiones – 8.4%, octubre, noviembre y diciembre, tuvieron el siguiente comportamiento en peticiones vs porcentaje respectivamente, 573 que representa el 9.4%, 443 correspondiente al 7.2% y 451 que representa el 7.4%.</w:t>
      </w:r>
    </w:p>
    <w:p w:rsidR="00140A32" w:rsidRPr="00140A32" w:rsidRDefault="00140A32" w:rsidP="00140A32">
      <w:pPr>
        <w:spacing w:after="0" w:line="240" w:lineRule="auto"/>
        <w:jc w:val="both"/>
        <w:rPr>
          <w:rFonts w:ascii="Arial" w:eastAsia="Calibri" w:hAnsi="Arial" w:cs="Arial"/>
          <w:lang w:eastAsia="es-ES"/>
        </w:rPr>
      </w:pPr>
    </w:p>
    <w:p w:rsidR="0088326D" w:rsidRPr="0088326D" w:rsidRDefault="0088326D" w:rsidP="0088326D">
      <w:pPr>
        <w:spacing w:after="0" w:line="240" w:lineRule="auto"/>
        <w:jc w:val="both"/>
        <w:rPr>
          <w:rFonts w:ascii="Arial" w:eastAsia="Calibri" w:hAnsi="Arial" w:cs="Arial"/>
          <w:sz w:val="16"/>
          <w:szCs w:val="16"/>
        </w:rPr>
      </w:pPr>
      <w:r w:rsidRPr="0088326D">
        <w:rPr>
          <w:rFonts w:ascii="Times New Roman" w:eastAsia="Arial Unicode MS" w:hAnsi="Times New Roman" w:cs="Tahoma"/>
          <w:noProof/>
          <w:color w:val="00000A"/>
          <w:sz w:val="24"/>
          <w:szCs w:val="24"/>
          <w:bdr w:val="double" w:sz="4" w:space="0" w:color="auto"/>
          <w:lang w:eastAsia="es-CO"/>
        </w:rPr>
        <w:drawing>
          <wp:inline distT="0" distB="0" distL="0" distR="0" wp14:anchorId="25EC101A" wp14:editId="6C328312">
            <wp:extent cx="5589767" cy="3013075"/>
            <wp:effectExtent l="0" t="0" r="11430" b="15875"/>
            <wp:docPr id="1878011238" name="Gráfico 1">
              <a:extLst xmlns:a="http://schemas.openxmlformats.org/drawingml/2006/main">
                <a:ext uri="{FF2B5EF4-FFF2-40B4-BE49-F238E27FC236}">
                  <a16:creationId xmlns:a16="http://schemas.microsoft.com/office/drawing/2014/main" id="{536656A6-B399-47E5-4A9D-E17CDDF3344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88326D">
        <w:rPr>
          <w:rFonts w:ascii="Arial" w:eastAsia="Calibri" w:hAnsi="Arial" w:cs="Arial"/>
          <w:sz w:val="16"/>
          <w:szCs w:val="16"/>
        </w:rPr>
        <w:t>fuente: Reporte aplicativo SDGPC Subred Integrada de Servicios de Salud Centro Oriente.</w:t>
      </w:r>
    </w:p>
    <w:p w:rsidR="0088326D" w:rsidRPr="0088326D" w:rsidRDefault="0088326D" w:rsidP="0088326D">
      <w:pPr>
        <w:spacing w:after="0" w:line="240" w:lineRule="auto"/>
        <w:jc w:val="both"/>
        <w:rPr>
          <w:rFonts w:ascii="Arial" w:eastAsia="Calibri" w:hAnsi="Arial" w:cs="Arial"/>
          <w:sz w:val="16"/>
          <w:szCs w:val="16"/>
        </w:rPr>
      </w:pPr>
    </w:p>
    <w:p w:rsidR="0088326D" w:rsidRPr="0088326D" w:rsidRDefault="0088326D" w:rsidP="0088326D">
      <w:pPr>
        <w:spacing w:after="0" w:line="240" w:lineRule="auto"/>
        <w:jc w:val="both"/>
        <w:rPr>
          <w:rFonts w:ascii="Arial" w:eastAsia="Calibri" w:hAnsi="Arial" w:cs="Arial"/>
        </w:rPr>
      </w:pPr>
      <w:r w:rsidRPr="0088326D">
        <w:rPr>
          <w:rFonts w:ascii="Arial" w:eastAsia="Calibri" w:hAnsi="Arial" w:cs="Arial"/>
        </w:rPr>
        <w:t xml:space="preserve">Para el año 2024 a la subred, ingresaron 2.321 reclamos, que representan el 37.9%, del total de los requerimientos recibidos durante este periodo, seguido de 2.021 derechos de petición de interés particular con un 33.3%, el tercer lugar lo ocupan 863 quejas con un 14.1%,   le siguen 693 felicitaciones con 11.3%, en quinto lugar se encuentran las solicitudes de Información (74) con 1.2%, %, le siguen 67 Derechos de petición de interés general que constituyen el 1.1%, 59 Solicitud de copia , que representan el 1.0%, en octavo lugar, se ubican 12  Sugerencias que representan un 0.2% se recepcionaron 9 Denuncias por posibles actos de Corrupción (0.1%), y por ultimo 1 sugerencia y  1 Consulta  que  representan el 0,0%. </w:t>
      </w:r>
    </w:p>
    <w:p w:rsidR="0088326D" w:rsidRPr="0088326D" w:rsidRDefault="0088326D" w:rsidP="0088326D">
      <w:pPr>
        <w:spacing w:after="0" w:line="240" w:lineRule="auto"/>
        <w:jc w:val="both"/>
        <w:rPr>
          <w:rFonts w:ascii="Arial" w:eastAsia="Calibri" w:hAnsi="Arial" w:cs="Arial"/>
        </w:rPr>
      </w:pPr>
    </w:p>
    <w:p w:rsidR="00140A32" w:rsidRDefault="00A17F68">
      <w:pPr>
        <w:rPr>
          <w:b/>
        </w:rPr>
      </w:pPr>
      <w:r>
        <w:rPr>
          <w:b/>
        </w:rPr>
        <w:t>AÑO 2025 ENERO A MARZO</w:t>
      </w:r>
    </w:p>
    <w:p w:rsidR="00A17F68" w:rsidRDefault="00A17F68">
      <w:pPr>
        <w:rPr>
          <w:b/>
        </w:rPr>
      </w:pPr>
      <w:r>
        <w:rPr>
          <w:b/>
        </w:rPr>
        <w:t>El informe PQRS del mes de abril, se encuentra en consolidación</w:t>
      </w:r>
    </w:p>
    <w:p w:rsidR="00672C94" w:rsidRPr="00672C94" w:rsidRDefault="00672C94" w:rsidP="00672C94">
      <w:pPr>
        <w:spacing w:after="0" w:line="240" w:lineRule="auto"/>
        <w:rPr>
          <w:rFonts w:ascii="Arial" w:eastAsia="Calibri" w:hAnsi="Arial" w:cs="Arial"/>
          <w:lang w:val="es-ES"/>
        </w:rPr>
      </w:pPr>
      <w:r w:rsidRPr="00672C94">
        <w:rPr>
          <w:rFonts w:ascii="Arial" w:eastAsia="Calibri" w:hAnsi="Arial" w:cs="Arial"/>
          <w:lang w:val="es-ES"/>
        </w:rPr>
        <w:t>Durante el I trimestre de 2025 ingresaron 1.567 requerimientos a la Subred Integrada de Servicios de Salud Centro Oriente E.S.E</w:t>
      </w:r>
    </w:p>
    <w:p w:rsidR="00672C94" w:rsidRPr="00672C94" w:rsidRDefault="00672C94" w:rsidP="00672C94">
      <w:pPr>
        <w:spacing w:after="0" w:line="240" w:lineRule="auto"/>
        <w:rPr>
          <w:rFonts w:ascii="Arial" w:eastAsia="Calibri" w:hAnsi="Arial" w:cs="Arial"/>
          <w:lang w:val="es-ES"/>
        </w:rPr>
      </w:pPr>
    </w:p>
    <w:p w:rsidR="00672C94" w:rsidRPr="00672C94" w:rsidRDefault="00672C94" w:rsidP="00672C94">
      <w:pPr>
        <w:spacing w:after="0" w:line="240" w:lineRule="auto"/>
        <w:rPr>
          <w:rFonts w:ascii="Arial" w:eastAsia="Calibri" w:hAnsi="Arial" w:cs="Arial"/>
          <w:lang w:val="es-ES"/>
        </w:rPr>
      </w:pPr>
      <w:r w:rsidRPr="00672C94">
        <w:rPr>
          <w:rFonts w:ascii="Times New Roman" w:eastAsia="Arial Unicode MS" w:hAnsi="Times New Roman" w:cs="Tahoma"/>
          <w:noProof/>
          <w:color w:val="00000A"/>
          <w:sz w:val="24"/>
          <w:szCs w:val="24"/>
          <w:bdr w:val="thinThickSmallGap" w:sz="24" w:space="0" w:color="auto" w:frame="1"/>
          <w:lang w:val="es-ES" w:eastAsia="es-CO"/>
        </w:rPr>
        <w:lastRenderedPageBreak/>
        <w:drawing>
          <wp:inline distT="0" distB="0" distL="0" distR="0" wp14:anchorId="5B13C1E8" wp14:editId="2002CEE7">
            <wp:extent cx="4572000" cy="2154803"/>
            <wp:effectExtent l="0" t="0" r="0" b="17145"/>
            <wp:docPr id="2" name="Gráfico 2">
              <a:extLst xmlns:a="http://schemas.openxmlformats.org/drawingml/2006/main">
                <a:ext uri="{FF2B5EF4-FFF2-40B4-BE49-F238E27FC236}">
                  <a16:creationId xmlns:a16="http://schemas.microsoft.com/office/drawing/2014/main" id="{41B4CCDD-70D0-47DF-B99E-CDC186FB04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72C94" w:rsidRPr="00672C94" w:rsidRDefault="00672C94" w:rsidP="00672C94">
      <w:pPr>
        <w:spacing w:after="0" w:line="240" w:lineRule="auto"/>
        <w:rPr>
          <w:rFonts w:ascii="Arial" w:eastAsia="Calibri" w:hAnsi="Arial" w:cs="Arial"/>
          <w:noProof/>
          <w:sz w:val="16"/>
          <w:szCs w:val="16"/>
          <w:lang w:val="es-ES" w:eastAsia="es-ES"/>
        </w:rPr>
      </w:pPr>
      <w:r w:rsidRPr="00672C94">
        <w:rPr>
          <w:rFonts w:ascii="Arial" w:eastAsia="Calibri" w:hAnsi="Arial" w:cs="Arial"/>
          <w:lang w:val="es-ES"/>
        </w:rPr>
        <w:t xml:space="preserve">            </w:t>
      </w:r>
      <w:r w:rsidRPr="00672C94">
        <w:rPr>
          <w:rFonts w:ascii="Arial" w:eastAsia="Calibri" w:hAnsi="Arial" w:cs="Arial"/>
          <w:noProof/>
          <w:sz w:val="16"/>
          <w:szCs w:val="16"/>
          <w:lang w:val="es-ES" w:eastAsia="es-ES"/>
        </w:rPr>
        <w:t xml:space="preserve"> Fuente: Reporte aplicativo SDGPC Subred Integrada de Servicos de Salud Centro Oriente</w:t>
      </w:r>
    </w:p>
    <w:p w:rsidR="00672C94" w:rsidRDefault="00672C94" w:rsidP="00672C94">
      <w:pPr>
        <w:rPr>
          <w:rFonts w:ascii="Arial" w:eastAsia="Calibri" w:hAnsi="Arial" w:cs="Arial"/>
          <w:noProof/>
          <w:lang w:val="es-ES" w:eastAsia="es-ES"/>
        </w:rPr>
      </w:pPr>
    </w:p>
    <w:p w:rsidR="00672C94" w:rsidRDefault="00672C94" w:rsidP="00672C94">
      <w:pPr>
        <w:rPr>
          <w:rFonts w:ascii="Arial" w:eastAsia="Calibri" w:hAnsi="Arial" w:cs="Arial"/>
          <w:noProof/>
          <w:lang w:val="es-ES" w:eastAsia="es-ES"/>
        </w:rPr>
      </w:pPr>
      <w:r w:rsidRPr="00672C94">
        <w:rPr>
          <w:rFonts w:ascii="Arial" w:eastAsia="Calibri" w:hAnsi="Arial" w:cs="Arial"/>
          <w:noProof/>
          <w:lang w:val="es-ES" w:eastAsia="es-ES"/>
        </w:rPr>
        <w:t xml:space="preserve">De acuerdo con la gráfica anterior, en el mes de enero ingresaron 404 requerimientos que corresponden al 25.78% del total del I trimestre del año en curso, 577 requerimientos en febrero que corresponden al 36.82% y 586 requerimientos ingresaron durante el mes de  marzo que representa un 37.39% del total del período establecido. </w:t>
      </w:r>
    </w:p>
    <w:p w:rsidR="00D45CA0" w:rsidRDefault="00D45CA0" w:rsidP="00D45CA0">
      <w:pPr>
        <w:spacing w:after="0" w:line="240" w:lineRule="auto"/>
        <w:jc w:val="both"/>
        <w:rPr>
          <w:rFonts w:ascii="Arial" w:eastAsia="Calibri" w:hAnsi="Arial" w:cs="Arial"/>
          <w:sz w:val="24"/>
          <w:szCs w:val="24"/>
          <w:lang w:val="es-ES"/>
        </w:rPr>
      </w:pPr>
      <w:r w:rsidRPr="00D45CA0">
        <w:rPr>
          <w:rFonts w:ascii="Arial" w:eastAsia="Calibri" w:hAnsi="Arial" w:cs="Arial"/>
          <w:sz w:val="24"/>
          <w:szCs w:val="24"/>
          <w:lang w:val="es-ES"/>
        </w:rPr>
        <w:t xml:space="preserve">El comportamiento de las tipologías para el I trimestre del año </w:t>
      </w:r>
      <w:r>
        <w:rPr>
          <w:rFonts w:ascii="Arial" w:eastAsia="Calibri" w:hAnsi="Arial" w:cs="Arial"/>
          <w:sz w:val="24"/>
          <w:szCs w:val="24"/>
          <w:lang w:val="es-ES"/>
        </w:rPr>
        <w:t>2025</w:t>
      </w:r>
      <w:r w:rsidRPr="00D45CA0">
        <w:rPr>
          <w:rFonts w:ascii="Arial" w:eastAsia="Calibri" w:hAnsi="Arial" w:cs="Arial"/>
          <w:sz w:val="24"/>
          <w:szCs w:val="24"/>
          <w:lang w:val="es-ES"/>
        </w:rPr>
        <w:t>, puede observarse en la siguiente tabla y gráfica:</w:t>
      </w:r>
    </w:p>
    <w:p w:rsidR="00EF68A8" w:rsidRPr="00D45CA0" w:rsidRDefault="00EF68A8" w:rsidP="00D45CA0">
      <w:pPr>
        <w:spacing w:after="0" w:line="240" w:lineRule="auto"/>
        <w:jc w:val="both"/>
        <w:rPr>
          <w:rFonts w:ascii="Arial" w:eastAsia="Calibri" w:hAnsi="Arial" w:cs="Arial"/>
          <w:sz w:val="24"/>
          <w:szCs w:val="24"/>
          <w:lang w:val="es-ES"/>
        </w:rPr>
      </w:pPr>
    </w:p>
    <w:p w:rsidR="00D45CA0" w:rsidRPr="00D45CA0" w:rsidRDefault="00D45CA0" w:rsidP="00D45CA0">
      <w:pPr>
        <w:spacing w:after="0" w:line="240" w:lineRule="auto"/>
        <w:ind w:left="-709"/>
        <w:jc w:val="both"/>
        <w:rPr>
          <w:rFonts w:ascii="Arial" w:eastAsia="Calibri" w:hAnsi="Arial" w:cs="Arial"/>
          <w:noProof/>
          <w:sz w:val="16"/>
          <w:szCs w:val="16"/>
          <w:lang w:val="es-ES" w:eastAsia="es-ES"/>
        </w:rPr>
      </w:pPr>
      <w:r w:rsidRPr="00D45CA0">
        <w:rPr>
          <w:rFonts w:ascii="Times New Roman" w:eastAsia="Arial Unicode MS" w:hAnsi="Times New Roman" w:cs="Tahoma"/>
          <w:noProof/>
          <w:color w:val="00000A"/>
          <w:sz w:val="24"/>
          <w:szCs w:val="24"/>
          <w:bdr w:val="double" w:sz="4" w:space="0" w:color="auto"/>
          <w:shd w:val="clear" w:color="auto" w:fill="D9E2F3"/>
          <w:lang w:val="es-ES" w:eastAsia="es-CO"/>
        </w:rPr>
        <w:drawing>
          <wp:inline distT="0" distB="0" distL="0" distR="0" wp14:anchorId="73C7F3FB" wp14:editId="58E7E4FC">
            <wp:extent cx="6503670" cy="2289976"/>
            <wp:effectExtent l="0" t="0" r="11430" b="15240"/>
            <wp:docPr id="5" name="Gráfico 5">
              <a:extLst xmlns:a="http://schemas.openxmlformats.org/drawingml/2006/main">
                <a:ext uri="{FF2B5EF4-FFF2-40B4-BE49-F238E27FC236}">
                  <a16:creationId xmlns:a16="http://schemas.microsoft.com/office/drawing/2014/main" id="{2FD76740-A863-457C-A756-C001862901E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D45CA0">
        <w:rPr>
          <w:rFonts w:ascii="Arial" w:eastAsia="Calibri" w:hAnsi="Arial" w:cs="Arial"/>
          <w:noProof/>
          <w:sz w:val="16"/>
          <w:szCs w:val="16"/>
          <w:lang w:val="es-ES" w:eastAsia="es-ES"/>
        </w:rPr>
        <w:t xml:space="preserve">       Fuente: Reporte aplicativo SDGPC Subred Integrada de Servicos de Salud Centro Oriente.</w:t>
      </w:r>
    </w:p>
    <w:p w:rsidR="00D45CA0" w:rsidRPr="00D45CA0" w:rsidRDefault="00D45CA0" w:rsidP="00D45CA0">
      <w:pPr>
        <w:spacing w:after="0" w:line="240" w:lineRule="auto"/>
        <w:jc w:val="both"/>
        <w:rPr>
          <w:rFonts w:ascii="Arial" w:eastAsia="Calibri" w:hAnsi="Arial" w:cs="Arial"/>
          <w:noProof/>
          <w:sz w:val="16"/>
          <w:szCs w:val="16"/>
          <w:lang w:val="es-ES" w:eastAsia="es-ES"/>
        </w:rPr>
      </w:pPr>
    </w:p>
    <w:p w:rsidR="00D45CA0" w:rsidRPr="00D45CA0" w:rsidRDefault="00D45CA0" w:rsidP="00D45CA0">
      <w:pPr>
        <w:spacing w:after="0" w:line="240" w:lineRule="auto"/>
        <w:jc w:val="both"/>
        <w:rPr>
          <w:rFonts w:ascii="Arial" w:eastAsia="Calibri" w:hAnsi="Arial" w:cs="Arial"/>
          <w:lang w:val="es-ES"/>
        </w:rPr>
      </w:pPr>
    </w:p>
    <w:p w:rsidR="00D45CA0" w:rsidRDefault="00D45CA0" w:rsidP="00D45CA0">
      <w:pPr>
        <w:spacing w:after="0" w:line="240" w:lineRule="auto"/>
        <w:jc w:val="both"/>
        <w:rPr>
          <w:rFonts w:ascii="Arial" w:eastAsia="Calibri" w:hAnsi="Arial" w:cs="Arial"/>
          <w:lang w:val="es-ES"/>
        </w:rPr>
      </w:pPr>
      <w:r w:rsidRPr="00D45CA0">
        <w:rPr>
          <w:rFonts w:ascii="Arial" w:eastAsia="Calibri" w:hAnsi="Arial" w:cs="Arial"/>
          <w:lang w:val="es-ES"/>
        </w:rPr>
        <w:t xml:space="preserve">Cómo puede observarse en la descripción anterior, para el I trimestre de 2025 del total de requerimientos que ingresaron a la Subred 626 fueron  Reclamos que representan el 39.95%, 526 Derechos de Petición de Interés Particular que equivalen al 33.57%, seguido de 229 Quejas con 14.61%, en un cuarto lugar se encuentran 185 felicitaciones equivalentes al 12.6%, posteriormente están 22 solicitudes de información (1.40%) y 21 Derechos de Petición de Interés General (1.34%). Para finalizar, se </w:t>
      </w:r>
      <w:r w:rsidRPr="00D45CA0">
        <w:rPr>
          <w:rFonts w:ascii="Arial" w:eastAsia="Calibri" w:hAnsi="Arial" w:cs="Arial"/>
          <w:lang w:val="es-ES"/>
        </w:rPr>
        <w:t>recepcionaron,</w:t>
      </w:r>
      <w:r w:rsidRPr="00D45CA0">
        <w:rPr>
          <w:rFonts w:ascii="Arial" w:eastAsia="Calibri" w:hAnsi="Arial" w:cs="Arial"/>
          <w:lang w:val="es-ES"/>
        </w:rPr>
        <w:t xml:space="preserve"> además; 19 Solicitudes de copia, correspondientes al 1.21%, 8 sugerencias 0.51; 3 Denuncias por posibles actos de Corrupción (0.19%), %y 1 Consulta para un porcentaje del 0.1</w:t>
      </w:r>
    </w:p>
    <w:p w:rsidR="006340BC" w:rsidRDefault="006340BC" w:rsidP="00D45CA0">
      <w:pPr>
        <w:spacing w:after="0" w:line="240" w:lineRule="auto"/>
        <w:jc w:val="both"/>
        <w:rPr>
          <w:rFonts w:ascii="Arial" w:eastAsia="Calibri" w:hAnsi="Arial" w:cs="Arial"/>
          <w:lang w:val="es-ES"/>
        </w:rPr>
      </w:pPr>
    </w:p>
    <w:p w:rsidR="00031A4F" w:rsidRDefault="00031A4F" w:rsidP="00D45CA0">
      <w:pPr>
        <w:spacing w:after="0" w:line="240" w:lineRule="auto"/>
        <w:jc w:val="both"/>
        <w:rPr>
          <w:rFonts w:ascii="Arial" w:eastAsia="Calibri" w:hAnsi="Arial" w:cs="Arial"/>
          <w:lang w:val="es-ES"/>
        </w:rPr>
      </w:pPr>
    </w:p>
    <w:p w:rsidR="00B14F87" w:rsidRDefault="00B14F87" w:rsidP="00D45CA0">
      <w:pPr>
        <w:spacing w:after="0" w:line="240" w:lineRule="auto"/>
        <w:jc w:val="both"/>
        <w:rPr>
          <w:rFonts w:ascii="Arial" w:eastAsia="Calibri" w:hAnsi="Arial" w:cs="Arial"/>
          <w:lang w:val="es-ES"/>
        </w:rPr>
      </w:pPr>
    </w:p>
    <w:p w:rsidR="006340BC" w:rsidRPr="00EF68A8" w:rsidRDefault="006340BC" w:rsidP="00D45CA0">
      <w:pPr>
        <w:spacing w:after="0" w:line="240" w:lineRule="auto"/>
        <w:jc w:val="both"/>
        <w:rPr>
          <w:b/>
        </w:rPr>
      </w:pPr>
      <w:r w:rsidRPr="00EF68A8">
        <w:rPr>
          <w:rFonts w:ascii="Arial" w:eastAsia="Calibri" w:hAnsi="Arial" w:cs="Arial"/>
          <w:b/>
          <w:lang w:val="es-ES"/>
        </w:rPr>
        <w:t>10. Con respecto al punto anterior, presente un indicador que demuestre la tasa de requerimientos/reclamaciones derivada de las atenciones prestadas por la Subred Integrada de Servicios de Salud Centro Oriente</w:t>
      </w:r>
      <w:r w:rsidRPr="00EF68A8">
        <w:rPr>
          <w:b/>
        </w:rPr>
        <w:t>.</w:t>
      </w:r>
    </w:p>
    <w:p w:rsidR="00031A4F" w:rsidRDefault="00031A4F" w:rsidP="00D45CA0">
      <w:pPr>
        <w:spacing w:after="0" w:line="240" w:lineRule="auto"/>
        <w:jc w:val="both"/>
        <w:rPr>
          <w:rFonts w:ascii="Arial" w:eastAsia="Calibri" w:hAnsi="Arial" w:cs="Arial"/>
          <w:lang w:val="es-ES"/>
        </w:rPr>
      </w:pPr>
    </w:p>
    <w:p w:rsidR="00031A4F" w:rsidRDefault="00031A4F" w:rsidP="00D45CA0">
      <w:pPr>
        <w:spacing w:after="0" w:line="240" w:lineRule="auto"/>
        <w:jc w:val="both"/>
        <w:rPr>
          <w:rFonts w:ascii="Arial" w:eastAsia="Calibri" w:hAnsi="Arial" w:cs="Arial"/>
          <w:lang w:val="es-ES"/>
        </w:rPr>
      </w:pPr>
    </w:p>
    <w:p w:rsidR="00031A4F" w:rsidRPr="00031A4F" w:rsidRDefault="00031A4F" w:rsidP="00D45CA0">
      <w:pPr>
        <w:spacing w:after="0" w:line="240" w:lineRule="auto"/>
        <w:jc w:val="both"/>
        <w:rPr>
          <w:rFonts w:ascii="Arial" w:eastAsia="Calibri" w:hAnsi="Arial" w:cs="Arial"/>
          <w:b/>
          <w:lang w:val="es-ES"/>
        </w:rPr>
      </w:pPr>
      <w:r w:rsidRPr="00031A4F">
        <w:rPr>
          <w:rFonts w:ascii="Arial" w:eastAsia="Calibri" w:hAnsi="Arial" w:cs="Arial"/>
          <w:b/>
          <w:lang w:val="es-ES"/>
        </w:rPr>
        <w:t>AÑO 2023</w:t>
      </w:r>
    </w:p>
    <w:p w:rsidR="00031A4F" w:rsidRDefault="00031A4F" w:rsidP="00D45CA0">
      <w:pPr>
        <w:spacing w:after="0" w:line="240" w:lineRule="auto"/>
        <w:jc w:val="both"/>
        <w:rPr>
          <w:rFonts w:ascii="Arial" w:eastAsia="Calibri" w:hAnsi="Arial" w:cs="Arial"/>
          <w:lang w:val="es-ES"/>
        </w:rPr>
      </w:pPr>
    </w:p>
    <w:p w:rsidR="00031A4F" w:rsidRDefault="00031A4F" w:rsidP="00031A4F">
      <w:pPr>
        <w:tabs>
          <w:tab w:val="left" w:pos="840"/>
          <w:tab w:val="left" w:pos="5937"/>
        </w:tabs>
        <w:jc w:val="both"/>
        <w:rPr>
          <w:rFonts w:ascii="Arial" w:eastAsia="Calibri" w:hAnsi="Arial" w:cs="Arial"/>
          <w:lang w:val="es-ES"/>
        </w:rPr>
      </w:pPr>
      <w:r w:rsidRPr="00031A4F">
        <w:rPr>
          <w:rFonts w:ascii="Arial" w:eastAsia="Calibri" w:hAnsi="Arial" w:cs="Arial"/>
          <w:lang w:val="es-ES"/>
        </w:rPr>
        <w:t>Se presenta el comportamiento de las PQRS en la Subred Centro   Oriente durante el año 2023, para lo cual es necesario establecer inicialmente la tasa correspondiente de las atenciones prestadas en la Subred Centro Oriente, durante el período establecido vs el número de requerimientos recibidos durante el mismo momento</w:t>
      </w:r>
    </w:p>
    <w:tbl>
      <w:tblPr>
        <w:tblW w:w="11048" w:type="dxa"/>
        <w:tblInd w:w="-1003" w:type="dxa"/>
        <w:tblLayout w:type="fixed"/>
        <w:tblCellMar>
          <w:left w:w="70" w:type="dxa"/>
          <w:right w:w="70" w:type="dxa"/>
        </w:tblCellMar>
        <w:tblLook w:val="04A0" w:firstRow="1" w:lastRow="0" w:firstColumn="1" w:lastColumn="0" w:noHBand="0" w:noVBand="1"/>
      </w:tblPr>
      <w:tblGrid>
        <w:gridCol w:w="1150"/>
        <w:gridCol w:w="717"/>
        <w:gridCol w:w="717"/>
        <w:gridCol w:w="859"/>
        <w:gridCol w:w="860"/>
        <w:gridCol w:w="716"/>
        <w:gridCol w:w="717"/>
        <w:gridCol w:w="717"/>
        <w:gridCol w:w="717"/>
        <w:gridCol w:w="859"/>
        <w:gridCol w:w="717"/>
        <w:gridCol w:w="859"/>
        <w:gridCol w:w="717"/>
        <w:gridCol w:w="726"/>
      </w:tblGrid>
      <w:tr w:rsidR="00031A4F" w:rsidRPr="00031A4F" w:rsidTr="00EF68A8">
        <w:trPr>
          <w:trHeight w:val="217"/>
        </w:trPr>
        <w:tc>
          <w:tcPr>
            <w:tcW w:w="1150" w:type="dxa"/>
            <w:tcBorders>
              <w:top w:val="single" w:sz="8" w:space="0" w:color="auto"/>
              <w:left w:val="single" w:sz="8" w:space="0" w:color="auto"/>
              <w:bottom w:val="nil"/>
              <w:right w:val="single" w:sz="8" w:space="0" w:color="auto"/>
            </w:tcBorders>
            <w:shd w:val="clear" w:color="auto" w:fill="BDD6EE"/>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17"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17"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 </w:t>
            </w:r>
          </w:p>
        </w:tc>
        <w:tc>
          <w:tcPr>
            <w:tcW w:w="859"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860"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16"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17"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17"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17"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859"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17"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859"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17" w:type="dxa"/>
            <w:tcBorders>
              <w:top w:val="single" w:sz="8" w:space="0" w:color="auto"/>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color w:val="000000"/>
                <w:sz w:val="16"/>
                <w:szCs w:val="16"/>
                <w:lang w:eastAsia="es-CO"/>
              </w:rPr>
              <w:t> </w:t>
            </w:r>
          </w:p>
        </w:tc>
        <w:tc>
          <w:tcPr>
            <w:tcW w:w="726" w:type="dxa"/>
            <w:vMerge w:val="restart"/>
            <w:tcBorders>
              <w:top w:val="single" w:sz="8" w:space="0" w:color="auto"/>
              <w:left w:val="single" w:sz="8" w:space="0" w:color="auto"/>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 xml:space="preserve">Total </w:t>
            </w:r>
          </w:p>
        </w:tc>
      </w:tr>
      <w:tr w:rsidR="00031A4F" w:rsidRPr="00031A4F" w:rsidTr="00EF68A8">
        <w:trPr>
          <w:trHeight w:val="854"/>
        </w:trPr>
        <w:tc>
          <w:tcPr>
            <w:tcW w:w="1150" w:type="dxa"/>
            <w:tcBorders>
              <w:top w:val="nil"/>
              <w:left w:val="single" w:sz="8" w:space="0" w:color="auto"/>
              <w:bottom w:val="nil"/>
              <w:right w:val="single" w:sz="8" w:space="0" w:color="auto"/>
            </w:tcBorders>
            <w:shd w:val="clear" w:color="auto" w:fill="BDD6EE"/>
            <w:vAlign w:val="center"/>
            <w:hideMark/>
          </w:tcPr>
          <w:p w:rsidR="00031A4F" w:rsidRPr="00031A4F" w:rsidRDefault="00031A4F" w:rsidP="00031A4F">
            <w:pPr>
              <w:spacing w:after="0" w:line="240" w:lineRule="auto"/>
              <w:jc w:val="center"/>
              <w:rPr>
                <w:rFonts w:ascii="Calibri" w:eastAsia="Times New Roman" w:hAnsi="Calibri" w:cs="Calibri"/>
                <w:color w:val="000000"/>
                <w:sz w:val="16"/>
                <w:szCs w:val="16"/>
                <w:lang w:eastAsia="es-CO"/>
              </w:rPr>
            </w:pPr>
            <w:r w:rsidRPr="00031A4F">
              <w:rPr>
                <w:rFonts w:ascii="Calibri" w:eastAsia="Times New Roman" w:hAnsi="Calibri" w:cs="Calibri"/>
                <w:b/>
                <w:bCs/>
                <w:color w:val="000000"/>
                <w:sz w:val="16"/>
                <w:szCs w:val="16"/>
                <w:lang w:eastAsia="es-CO"/>
              </w:rPr>
              <w:t>MES</w:t>
            </w:r>
          </w:p>
        </w:tc>
        <w:tc>
          <w:tcPr>
            <w:tcW w:w="717"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ENERO</w:t>
            </w:r>
          </w:p>
        </w:tc>
        <w:tc>
          <w:tcPr>
            <w:tcW w:w="717"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 xml:space="preserve">    FEBRERO</w:t>
            </w:r>
          </w:p>
        </w:tc>
        <w:tc>
          <w:tcPr>
            <w:tcW w:w="859"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MARZO</w:t>
            </w:r>
          </w:p>
        </w:tc>
        <w:tc>
          <w:tcPr>
            <w:tcW w:w="860"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ABRIL</w:t>
            </w:r>
          </w:p>
        </w:tc>
        <w:tc>
          <w:tcPr>
            <w:tcW w:w="716"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MAYO</w:t>
            </w:r>
          </w:p>
        </w:tc>
        <w:tc>
          <w:tcPr>
            <w:tcW w:w="717"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JUNIO</w:t>
            </w:r>
          </w:p>
        </w:tc>
        <w:tc>
          <w:tcPr>
            <w:tcW w:w="717"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JULIO</w:t>
            </w:r>
          </w:p>
        </w:tc>
        <w:tc>
          <w:tcPr>
            <w:tcW w:w="717"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AGOSTO</w:t>
            </w:r>
          </w:p>
        </w:tc>
        <w:tc>
          <w:tcPr>
            <w:tcW w:w="859"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SEPTIEMBRE</w:t>
            </w:r>
          </w:p>
        </w:tc>
        <w:tc>
          <w:tcPr>
            <w:tcW w:w="717"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OCTUBRE</w:t>
            </w:r>
          </w:p>
        </w:tc>
        <w:tc>
          <w:tcPr>
            <w:tcW w:w="859"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NOVIEMBRE</w:t>
            </w:r>
          </w:p>
        </w:tc>
        <w:tc>
          <w:tcPr>
            <w:tcW w:w="717" w:type="dxa"/>
            <w:tcBorders>
              <w:top w:val="nil"/>
              <w:left w:val="nil"/>
              <w:bottom w:val="nil"/>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DICIEMBRE</w:t>
            </w:r>
          </w:p>
        </w:tc>
        <w:tc>
          <w:tcPr>
            <w:tcW w:w="726" w:type="dxa"/>
            <w:vMerge/>
            <w:tcBorders>
              <w:top w:val="single" w:sz="8" w:space="0" w:color="auto"/>
              <w:left w:val="single" w:sz="8" w:space="0" w:color="auto"/>
              <w:bottom w:val="nil"/>
              <w:right w:val="single" w:sz="8" w:space="0" w:color="auto"/>
            </w:tcBorders>
            <w:shd w:val="clear" w:color="auto" w:fill="BDD6EE"/>
            <w:vAlign w:val="center"/>
            <w:hideMark/>
          </w:tcPr>
          <w:p w:rsidR="00031A4F" w:rsidRPr="00031A4F" w:rsidRDefault="00031A4F" w:rsidP="00031A4F">
            <w:pPr>
              <w:spacing w:after="0" w:line="240" w:lineRule="auto"/>
              <w:rPr>
                <w:rFonts w:ascii="Calibri" w:eastAsia="Times New Roman" w:hAnsi="Calibri" w:cs="Calibri"/>
                <w:b/>
                <w:bCs/>
                <w:color w:val="000000"/>
                <w:sz w:val="16"/>
                <w:szCs w:val="16"/>
                <w:lang w:eastAsia="es-CO"/>
              </w:rPr>
            </w:pPr>
          </w:p>
        </w:tc>
      </w:tr>
      <w:tr w:rsidR="00031A4F" w:rsidRPr="00031A4F" w:rsidTr="00EF68A8">
        <w:trPr>
          <w:trHeight w:val="321"/>
        </w:trPr>
        <w:tc>
          <w:tcPr>
            <w:tcW w:w="1150" w:type="dxa"/>
            <w:tcBorders>
              <w:top w:val="nil"/>
              <w:left w:val="single" w:sz="8" w:space="0" w:color="auto"/>
              <w:bottom w:val="single" w:sz="8" w:space="0" w:color="auto"/>
              <w:right w:val="single" w:sz="8" w:space="0" w:color="auto"/>
            </w:tcBorders>
            <w:shd w:val="clear" w:color="auto" w:fill="BDD6EE"/>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8"/>
                <w:szCs w:val="18"/>
                <w:lang w:eastAsia="es-CO"/>
              </w:rPr>
            </w:pPr>
            <w:r w:rsidRPr="00031A4F">
              <w:rPr>
                <w:rFonts w:ascii="Calibri" w:eastAsia="Times New Roman" w:hAnsi="Calibri" w:cs="Calibri"/>
                <w:b/>
                <w:bCs/>
                <w:color w:val="000000"/>
                <w:sz w:val="18"/>
                <w:szCs w:val="18"/>
                <w:lang w:eastAsia="es-CO"/>
              </w:rPr>
              <w:t>2023</w:t>
            </w:r>
          </w:p>
        </w:tc>
        <w:tc>
          <w:tcPr>
            <w:tcW w:w="717"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717"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859"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860"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716"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717"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717"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717"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859" w:type="dxa"/>
            <w:tcBorders>
              <w:top w:val="nil"/>
              <w:left w:val="nil"/>
              <w:bottom w:val="single" w:sz="4" w:space="0" w:color="auto"/>
              <w:right w:val="single" w:sz="8" w:space="0" w:color="auto"/>
            </w:tcBorders>
            <w:shd w:val="clear" w:color="auto" w:fill="BDD6EE"/>
            <w:textDirection w:val="btLr"/>
            <w:vAlign w:val="center"/>
            <w:hideMark/>
          </w:tcPr>
          <w:p w:rsidR="00031A4F" w:rsidRPr="00031A4F" w:rsidRDefault="00031A4F" w:rsidP="00031A4F">
            <w:pPr>
              <w:spacing w:after="0" w:line="240" w:lineRule="auto"/>
              <w:jc w:val="center"/>
              <w:rPr>
                <w:rFonts w:ascii="Calibri" w:eastAsia="Times New Roman" w:hAnsi="Calibri" w:cs="Calibri"/>
                <w:b/>
                <w:bCs/>
                <w:color w:val="000000"/>
                <w:sz w:val="18"/>
                <w:szCs w:val="18"/>
                <w:lang w:eastAsia="es-CO"/>
              </w:rPr>
            </w:pPr>
            <w:r w:rsidRPr="00031A4F">
              <w:rPr>
                <w:rFonts w:ascii="Calibri" w:eastAsia="Times New Roman" w:hAnsi="Calibri" w:cs="Calibri"/>
                <w:b/>
                <w:bCs/>
                <w:color w:val="000000"/>
                <w:sz w:val="18"/>
                <w:szCs w:val="18"/>
                <w:lang w:eastAsia="es-CO"/>
              </w:rPr>
              <w:t> </w:t>
            </w:r>
          </w:p>
        </w:tc>
        <w:tc>
          <w:tcPr>
            <w:tcW w:w="717"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859"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717" w:type="dxa"/>
            <w:tcBorders>
              <w:top w:val="nil"/>
              <w:left w:val="nil"/>
              <w:bottom w:val="single" w:sz="4" w:space="0" w:color="auto"/>
              <w:right w:val="single" w:sz="8" w:space="0" w:color="auto"/>
            </w:tcBorders>
            <w:shd w:val="clear" w:color="auto" w:fill="BDD6EE"/>
            <w:textDirection w:val="btLr"/>
            <w:vAlign w:val="bottom"/>
            <w:hideMark/>
          </w:tcPr>
          <w:p w:rsidR="00031A4F" w:rsidRPr="00031A4F" w:rsidRDefault="00031A4F" w:rsidP="00031A4F">
            <w:pPr>
              <w:spacing w:after="0" w:line="240" w:lineRule="auto"/>
              <w:jc w:val="center"/>
              <w:rPr>
                <w:rFonts w:ascii="Calibri" w:eastAsia="Times New Roman" w:hAnsi="Calibri" w:cs="Calibri"/>
                <w:color w:val="000000"/>
                <w:lang w:eastAsia="es-CO"/>
              </w:rPr>
            </w:pPr>
            <w:r w:rsidRPr="00031A4F">
              <w:rPr>
                <w:rFonts w:ascii="Calibri" w:eastAsia="Times New Roman" w:hAnsi="Calibri" w:cs="Calibri"/>
                <w:color w:val="000000"/>
                <w:lang w:eastAsia="es-CO"/>
              </w:rPr>
              <w:t> </w:t>
            </w:r>
          </w:p>
        </w:tc>
        <w:tc>
          <w:tcPr>
            <w:tcW w:w="726" w:type="dxa"/>
            <w:vMerge/>
            <w:tcBorders>
              <w:top w:val="single" w:sz="8" w:space="0" w:color="auto"/>
              <w:left w:val="single" w:sz="8" w:space="0" w:color="auto"/>
              <w:bottom w:val="single" w:sz="4" w:space="0" w:color="auto"/>
              <w:right w:val="single" w:sz="8" w:space="0" w:color="auto"/>
            </w:tcBorders>
            <w:shd w:val="clear" w:color="auto" w:fill="BDD6EE"/>
            <w:vAlign w:val="center"/>
            <w:hideMark/>
          </w:tcPr>
          <w:p w:rsidR="00031A4F" w:rsidRPr="00031A4F" w:rsidRDefault="00031A4F" w:rsidP="00031A4F">
            <w:pPr>
              <w:spacing w:after="0" w:line="240" w:lineRule="auto"/>
              <w:rPr>
                <w:rFonts w:ascii="Calibri" w:eastAsia="Times New Roman" w:hAnsi="Calibri" w:cs="Calibri"/>
                <w:b/>
                <w:bCs/>
                <w:color w:val="000000"/>
                <w:sz w:val="18"/>
                <w:szCs w:val="18"/>
                <w:lang w:eastAsia="es-CO"/>
              </w:rPr>
            </w:pPr>
          </w:p>
        </w:tc>
      </w:tr>
      <w:tr w:rsidR="00031A4F" w:rsidRPr="00031A4F" w:rsidTr="00EF68A8">
        <w:trPr>
          <w:trHeight w:val="460"/>
        </w:trPr>
        <w:tc>
          <w:tcPr>
            <w:tcW w:w="1150" w:type="dxa"/>
            <w:vMerge w:val="restart"/>
            <w:tcBorders>
              <w:top w:val="nil"/>
              <w:left w:val="single" w:sz="8" w:space="0" w:color="auto"/>
              <w:bottom w:val="single" w:sz="8" w:space="0" w:color="000000"/>
              <w:right w:val="single" w:sz="4" w:space="0" w:color="auto"/>
            </w:tcBorders>
            <w:shd w:val="clear" w:color="auto" w:fill="BDD6EE"/>
            <w:vAlign w:val="center"/>
            <w:hideMark/>
          </w:tcPr>
          <w:p w:rsidR="00031A4F" w:rsidRPr="00031A4F" w:rsidRDefault="00031A4F" w:rsidP="00031A4F">
            <w:pPr>
              <w:spacing w:after="0" w:line="240" w:lineRule="auto"/>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ATENCIONES</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304.470</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314.018</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859"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380.221</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860"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359.127</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6"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374.651</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362.090</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339.271</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354.195</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859"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343.610</w:t>
            </w:r>
          </w:p>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349.467</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347.392</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312.557</w:t>
            </w:r>
          </w:p>
        </w:tc>
        <w:tc>
          <w:tcPr>
            <w:tcW w:w="726"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4.141.069</w:t>
            </w:r>
          </w:p>
        </w:tc>
      </w:tr>
      <w:tr w:rsidR="00031A4F" w:rsidRPr="00031A4F" w:rsidTr="00EF68A8">
        <w:trPr>
          <w:trHeight w:val="460"/>
        </w:trPr>
        <w:tc>
          <w:tcPr>
            <w:tcW w:w="1150" w:type="dxa"/>
            <w:vMerge/>
            <w:tcBorders>
              <w:top w:val="nil"/>
              <w:left w:val="single" w:sz="8" w:space="0" w:color="auto"/>
              <w:bottom w:val="single" w:sz="8" w:space="0" w:color="000000"/>
              <w:right w:val="single" w:sz="4" w:space="0" w:color="auto"/>
            </w:tcBorders>
            <w:shd w:val="clear" w:color="auto" w:fill="BDD6EE"/>
            <w:vAlign w:val="center"/>
            <w:hideMark/>
          </w:tcPr>
          <w:p w:rsidR="00031A4F" w:rsidRPr="00031A4F" w:rsidRDefault="00031A4F" w:rsidP="00031A4F">
            <w:pPr>
              <w:spacing w:after="0" w:line="240" w:lineRule="auto"/>
              <w:rPr>
                <w:rFonts w:ascii="Calibri" w:eastAsia="Times New Roman" w:hAnsi="Calibri" w:cs="Calibri"/>
                <w:b/>
                <w:bCs/>
                <w:color w:val="000000"/>
                <w:sz w:val="16"/>
                <w:szCs w:val="16"/>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860"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6"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c>
          <w:tcPr>
            <w:tcW w:w="726"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p>
        </w:tc>
      </w:tr>
      <w:tr w:rsidR="00031A4F" w:rsidRPr="00031A4F" w:rsidTr="00EF68A8">
        <w:trPr>
          <w:trHeight w:val="229"/>
        </w:trPr>
        <w:tc>
          <w:tcPr>
            <w:tcW w:w="1150" w:type="dxa"/>
            <w:tcBorders>
              <w:top w:val="nil"/>
              <w:left w:val="single" w:sz="8" w:space="0" w:color="auto"/>
              <w:bottom w:val="single" w:sz="8" w:space="0" w:color="auto"/>
              <w:right w:val="single" w:sz="4" w:space="0" w:color="auto"/>
            </w:tcBorders>
            <w:shd w:val="clear" w:color="auto" w:fill="BDD6EE"/>
            <w:vAlign w:val="center"/>
            <w:hideMark/>
          </w:tcPr>
          <w:p w:rsidR="00031A4F" w:rsidRPr="00031A4F" w:rsidRDefault="00031A4F" w:rsidP="00031A4F">
            <w:pPr>
              <w:spacing w:after="0" w:line="240" w:lineRule="auto"/>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eastAsia="es-CO"/>
              </w:rPr>
              <w:t>PQRS</w:t>
            </w:r>
          </w:p>
        </w:tc>
        <w:tc>
          <w:tcPr>
            <w:tcW w:w="717"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440</w:t>
            </w:r>
          </w:p>
        </w:tc>
        <w:tc>
          <w:tcPr>
            <w:tcW w:w="717"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534</w:t>
            </w:r>
          </w:p>
        </w:tc>
        <w:tc>
          <w:tcPr>
            <w:tcW w:w="859"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565</w:t>
            </w:r>
          </w:p>
        </w:tc>
        <w:tc>
          <w:tcPr>
            <w:tcW w:w="860"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411</w:t>
            </w:r>
          </w:p>
        </w:tc>
        <w:tc>
          <w:tcPr>
            <w:tcW w:w="716"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572</w:t>
            </w:r>
          </w:p>
        </w:tc>
        <w:tc>
          <w:tcPr>
            <w:tcW w:w="717"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552</w:t>
            </w:r>
          </w:p>
        </w:tc>
        <w:tc>
          <w:tcPr>
            <w:tcW w:w="717" w:type="dxa"/>
            <w:tcBorders>
              <w:top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574</w:t>
            </w:r>
          </w:p>
        </w:tc>
        <w:tc>
          <w:tcPr>
            <w:tcW w:w="717"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505</w:t>
            </w:r>
          </w:p>
        </w:tc>
        <w:tc>
          <w:tcPr>
            <w:tcW w:w="859" w:type="dxa"/>
            <w:tcBorders>
              <w:top w:val="single" w:sz="4" w:space="0" w:color="auto"/>
              <w:left w:val="single" w:sz="4" w:space="0" w:color="auto"/>
              <w:bottom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524</w:t>
            </w:r>
          </w:p>
        </w:tc>
        <w:tc>
          <w:tcPr>
            <w:tcW w:w="717"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535</w:t>
            </w:r>
          </w:p>
        </w:tc>
        <w:tc>
          <w:tcPr>
            <w:tcW w:w="859"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440</w:t>
            </w:r>
          </w:p>
        </w:tc>
        <w:tc>
          <w:tcPr>
            <w:tcW w:w="717"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451</w:t>
            </w:r>
          </w:p>
        </w:tc>
        <w:tc>
          <w:tcPr>
            <w:tcW w:w="726" w:type="dxa"/>
            <w:tcBorders>
              <w:top w:val="single" w:sz="4" w:space="0" w:color="auto"/>
              <w:left w:val="single" w:sz="4" w:space="0" w:color="auto"/>
              <w:bottom w:val="single" w:sz="4" w:space="0" w:color="auto"/>
              <w:right w:val="single" w:sz="4" w:space="0" w:color="auto"/>
            </w:tcBorders>
            <w:shd w:val="clear" w:color="auto" w:fill="D9D9D9"/>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6.103</w:t>
            </w:r>
          </w:p>
        </w:tc>
      </w:tr>
      <w:tr w:rsidR="00031A4F" w:rsidRPr="00031A4F" w:rsidTr="00EF68A8">
        <w:trPr>
          <w:trHeight w:val="460"/>
        </w:trPr>
        <w:tc>
          <w:tcPr>
            <w:tcW w:w="1150" w:type="dxa"/>
            <w:vMerge w:val="restart"/>
            <w:tcBorders>
              <w:top w:val="nil"/>
              <w:left w:val="single" w:sz="8" w:space="0" w:color="auto"/>
              <w:right w:val="single" w:sz="4" w:space="0" w:color="auto"/>
            </w:tcBorders>
            <w:shd w:val="clear" w:color="auto" w:fill="BDD6EE"/>
            <w:vAlign w:val="center"/>
            <w:hideMark/>
          </w:tcPr>
          <w:p w:rsidR="00031A4F" w:rsidRPr="00031A4F" w:rsidRDefault="00031A4F" w:rsidP="00031A4F">
            <w:pPr>
              <w:spacing w:after="0" w:line="240" w:lineRule="auto"/>
              <w:rPr>
                <w:rFonts w:ascii="Calibri" w:eastAsia="Times New Roman" w:hAnsi="Calibri" w:cs="Calibri"/>
                <w:b/>
                <w:bCs/>
                <w:color w:val="000000"/>
                <w:sz w:val="16"/>
                <w:szCs w:val="16"/>
                <w:lang w:eastAsia="es-CO"/>
              </w:rPr>
            </w:pPr>
            <w:r w:rsidRPr="00031A4F">
              <w:rPr>
                <w:rFonts w:ascii="Calibri" w:eastAsia="Times New Roman" w:hAnsi="Calibri" w:cs="Calibri"/>
                <w:b/>
                <w:bCs/>
                <w:color w:val="000000"/>
                <w:sz w:val="16"/>
                <w:szCs w:val="16"/>
                <w:lang w:val="es-ES" w:eastAsia="es-CO"/>
              </w:rPr>
              <w:t>TASA</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1.4</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1.7</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1.4</w:t>
            </w:r>
          </w:p>
        </w:tc>
        <w:tc>
          <w:tcPr>
            <w:tcW w:w="860"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1.1</w:t>
            </w:r>
          </w:p>
        </w:tc>
        <w:tc>
          <w:tcPr>
            <w:tcW w:w="716"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1.5</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1.5</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1.7</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1.4</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1.5</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1.5</w:t>
            </w:r>
          </w:p>
        </w:tc>
        <w:tc>
          <w:tcPr>
            <w:tcW w:w="859"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EF68A8">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1.3</w:t>
            </w:r>
          </w:p>
        </w:tc>
        <w:tc>
          <w:tcPr>
            <w:tcW w:w="717"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1.4</w:t>
            </w:r>
          </w:p>
        </w:tc>
        <w:tc>
          <w:tcPr>
            <w:tcW w:w="726"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jc w:val="center"/>
              <w:rPr>
                <w:rFonts w:ascii="Calibri" w:eastAsia="Times New Roman" w:hAnsi="Calibri" w:cs="Calibri"/>
                <w:b/>
                <w:bCs/>
                <w:color w:val="000000"/>
                <w:sz w:val="14"/>
                <w:szCs w:val="14"/>
                <w:lang w:eastAsia="es-CO"/>
              </w:rPr>
            </w:pPr>
            <w:r w:rsidRPr="00031A4F">
              <w:rPr>
                <w:rFonts w:ascii="Calibri" w:eastAsia="Times New Roman" w:hAnsi="Calibri" w:cs="Calibri"/>
                <w:b/>
                <w:bCs/>
                <w:color w:val="000000"/>
                <w:sz w:val="14"/>
                <w:szCs w:val="14"/>
                <w:lang w:eastAsia="es-CO"/>
              </w:rPr>
              <w:t>1.6</w:t>
            </w:r>
          </w:p>
        </w:tc>
      </w:tr>
      <w:tr w:rsidR="00031A4F" w:rsidRPr="00031A4F" w:rsidTr="00EF68A8">
        <w:trPr>
          <w:trHeight w:val="460"/>
        </w:trPr>
        <w:tc>
          <w:tcPr>
            <w:tcW w:w="1150" w:type="dxa"/>
            <w:vMerge/>
            <w:tcBorders>
              <w:left w:val="single" w:sz="8" w:space="0" w:color="auto"/>
              <w:bottom w:val="single" w:sz="8" w:space="0" w:color="000000"/>
              <w:right w:val="nil"/>
            </w:tcBorders>
            <w:shd w:val="clear" w:color="auto" w:fill="BDD6EE"/>
            <w:vAlign w:val="center"/>
            <w:hideMark/>
          </w:tcPr>
          <w:p w:rsidR="00031A4F" w:rsidRPr="00031A4F" w:rsidRDefault="00031A4F" w:rsidP="00031A4F">
            <w:pPr>
              <w:spacing w:after="0" w:line="240" w:lineRule="auto"/>
              <w:rPr>
                <w:rFonts w:ascii="Calibri" w:eastAsia="Times New Roman" w:hAnsi="Calibri" w:cs="Calibri"/>
                <w:b/>
                <w:bCs/>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860"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6"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26"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b/>
                <w:bCs/>
                <w:color w:val="000000"/>
                <w:sz w:val="18"/>
                <w:szCs w:val="18"/>
                <w:lang w:eastAsia="es-CO"/>
              </w:rPr>
            </w:pPr>
          </w:p>
        </w:tc>
      </w:tr>
      <w:tr w:rsidR="00031A4F" w:rsidRPr="00031A4F" w:rsidTr="00EF68A8">
        <w:trPr>
          <w:trHeight w:val="460"/>
        </w:trPr>
        <w:tc>
          <w:tcPr>
            <w:tcW w:w="1150" w:type="dxa"/>
            <w:vMerge/>
            <w:tcBorders>
              <w:top w:val="nil"/>
              <w:left w:val="single" w:sz="8" w:space="0" w:color="auto"/>
              <w:bottom w:val="single" w:sz="8" w:space="0" w:color="000000"/>
              <w:right w:val="nil"/>
            </w:tcBorders>
            <w:shd w:val="clear" w:color="auto" w:fill="BDD6EE"/>
            <w:vAlign w:val="center"/>
            <w:hideMark/>
          </w:tcPr>
          <w:p w:rsidR="00031A4F" w:rsidRPr="00031A4F" w:rsidRDefault="00031A4F" w:rsidP="00031A4F">
            <w:pPr>
              <w:spacing w:after="0" w:line="240" w:lineRule="auto"/>
              <w:rPr>
                <w:rFonts w:ascii="Calibri" w:eastAsia="Times New Roman" w:hAnsi="Calibri" w:cs="Calibri"/>
                <w:b/>
                <w:bCs/>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860"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6"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859"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17"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color w:val="000000"/>
                <w:sz w:val="18"/>
                <w:szCs w:val="18"/>
                <w:lang w:eastAsia="es-CO"/>
              </w:rPr>
            </w:pPr>
          </w:p>
        </w:tc>
        <w:tc>
          <w:tcPr>
            <w:tcW w:w="726"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031A4F" w:rsidRPr="00031A4F" w:rsidRDefault="00031A4F" w:rsidP="00031A4F">
            <w:pPr>
              <w:spacing w:after="0" w:line="240" w:lineRule="auto"/>
              <w:rPr>
                <w:rFonts w:ascii="Calibri" w:eastAsia="Times New Roman" w:hAnsi="Calibri" w:cs="Calibri"/>
                <w:b/>
                <w:bCs/>
                <w:color w:val="000000"/>
                <w:sz w:val="18"/>
                <w:szCs w:val="18"/>
                <w:lang w:eastAsia="es-CO"/>
              </w:rPr>
            </w:pPr>
          </w:p>
        </w:tc>
      </w:tr>
    </w:tbl>
    <w:p w:rsidR="00031A4F" w:rsidRDefault="00031A4F" w:rsidP="00031A4F">
      <w:pPr>
        <w:tabs>
          <w:tab w:val="left" w:pos="840"/>
          <w:tab w:val="left" w:pos="1617"/>
        </w:tabs>
        <w:jc w:val="both"/>
        <w:rPr>
          <w:rFonts w:ascii="Arial" w:eastAsia="Calibri" w:hAnsi="Arial" w:cs="Arial"/>
          <w:lang w:val="es-ES"/>
        </w:rPr>
      </w:pPr>
    </w:p>
    <w:p w:rsidR="00031A4F" w:rsidRPr="00031A4F" w:rsidRDefault="00031A4F" w:rsidP="00031A4F">
      <w:pPr>
        <w:tabs>
          <w:tab w:val="left" w:pos="840"/>
          <w:tab w:val="left" w:pos="1617"/>
        </w:tabs>
        <w:jc w:val="both"/>
        <w:rPr>
          <w:rFonts w:ascii="Arial" w:eastAsia="Calibri" w:hAnsi="Arial" w:cs="Arial"/>
          <w:sz w:val="24"/>
          <w:szCs w:val="24"/>
          <w:lang w:val="es-ES"/>
        </w:rPr>
      </w:pPr>
      <w:r w:rsidRPr="00031A4F">
        <w:rPr>
          <w:rFonts w:ascii="Arial" w:eastAsia="Calibri" w:hAnsi="Arial" w:cs="Arial"/>
          <w:lang w:val="es-ES"/>
        </w:rPr>
        <w:t>El gráfico anterior muestra que, durante el año 2023, frente a 4.141.069 atenciones que se prestaron en todas las Unidades de la Subred Centro Oriente, se recepcionaron 6.103 requerimientos por parte de los usuarios de los servicios ofertados, lo cual equivale a una tasa de 1.6 que representa que, por cada 1000 atenciones brindadas, menos de 2 usuarios presentaron sus manifestaciones</w:t>
      </w:r>
      <w:r w:rsidRPr="00031A4F">
        <w:rPr>
          <w:rFonts w:ascii="Arial" w:eastAsia="Calibri" w:hAnsi="Arial" w:cs="Arial"/>
          <w:sz w:val="24"/>
          <w:szCs w:val="24"/>
          <w:lang w:val="es-ES"/>
        </w:rPr>
        <w:t>.</w:t>
      </w:r>
    </w:p>
    <w:p w:rsidR="00031A4F" w:rsidRDefault="00031A4F" w:rsidP="00D45CA0">
      <w:pPr>
        <w:spacing w:after="0" w:line="240" w:lineRule="auto"/>
        <w:jc w:val="both"/>
        <w:rPr>
          <w:rFonts w:ascii="Arial" w:eastAsia="Calibri" w:hAnsi="Arial" w:cs="Arial"/>
          <w:lang w:val="es-ES"/>
        </w:rPr>
      </w:pPr>
    </w:p>
    <w:p w:rsidR="00031A4F" w:rsidRDefault="00031A4F" w:rsidP="00D45CA0">
      <w:pPr>
        <w:spacing w:after="0" w:line="240" w:lineRule="auto"/>
        <w:jc w:val="both"/>
        <w:rPr>
          <w:rFonts w:ascii="Arial" w:eastAsia="Calibri" w:hAnsi="Arial" w:cs="Arial"/>
          <w:b/>
          <w:lang w:val="es-ES"/>
        </w:rPr>
      </w:pPr>
      <w:r w:rsidRPr="003336F9">
        <w:rPr>
          <w:rFonts w:ascii="Arial" w:eastAsia="Calibri" w:hAnsi="Arial" w:cs="Arial"/>
          <w:b/>
          <w:lang w:val="es-ES"/>
        </w:rPr>
        <w:t>AÑO 2024</w:t>
      </w:r>
    </w:p>
    <w:p w:rsidR="003336F9" w:rsidRDefault="003336F9" w:rsidP="00D45CA0">
      <w:pPr>
        <w:spacing w:after="0" w:line="240" w:lineRule="auto"/>
        <w:jc w:val="both"/>
        <w:rPr>
          <w:rFonts w:ascii="Arial" w:eastAsia="Calibri" w:hAnsi="Arial" w:cs="Arial"/>
          <w:b/>
          <w:lang w:val="es-ES"/>
        </w:rPr>
      </w:pPr>
    </w:p>
    <w:p w:rsidR="003336F9" w:rsidRDefault="003336F9" w:rsidP="003336F9">
      <w:pPr>
        <w:tabs>
          <w:tab w:val="left" w:pos="840"/>
          <w:tab w:val="left" w:pos="5937"/>
        </w:tabs>
        <w:jc w:val="both"/>
        <w:rPr>
          <w:rFonts w:ascii="Arial" w:eastAsia="Calibri" w:hAnsi="Arial" w:cs="Arial"/>
          <w:lang w:val="es-ES"/>
        </w:rPr>
      </w:pPr>
      <w:r w:rsidRPr="003336F9">
        <w:rPr>
          <w:rFonts w:ascii="Arial" w:eastAsia="Calibri" w:hAnsi="Arial" w:cs="Arial"/>
          <w:lang w:val="es-ES"/>
        </w:rPr>
        <w:t>Se presenta el comportamiento de las PQRS en la Subred Centro   Oriente durante el año 2024</w:t>
      </w:r>
      <w:r>
        <w:rPr>
          <w:rFonts w:ascii="Arial" w:eastAsia="Calibri" w:hAnsi="Arial" w:cs="Arial"/>
          <w:lang w:val="es-ES"/>
        </w:rPr>
        <w:t>.</w:t>
      </w:r>
    </w:p>
    <w:p w:rsidR="00EF68A8" w:rsidRDefault="00EF68A8" w:rsidP="003336F9">
      <w:pPr>
        <w:tabs>
          <w:tab w:val="left" w:pos="840"/>
          <w:tab w:val="left" w:pos="5937"/>
        </w:tabs>
        <w:jc w:val="both"/>
        <w:rPr>
          <w:rFonts w:ascii="Arial" w:eastAsia="Calibri" w:hAnsi="Arial" w:cs="Arial"/>
          <w:lang w:val="es-ES"/>
        </w:rPr>
      </w:pPr>
    </w:p>
    <w:p w:rsidR="00EF68A8" w:rsidRDefault="00EF68A8" w:rsidP="003336F9">
      <w:pPr>
        <w:tabs>
          <w:tab w:val="left" w:pos="840"/>
          <w:tab w:val="left" w:pos="5937"/>
        </w:tabs>
        <w:jc w:val="both"/>
        <w:rPr>
          <w:rFonts w:ascii="Arial" w:eastAsia="Calibri" w:hAnsi="Arial" w:cs="Arial"/>
          <w:lang w:val="es-ES"/>
        </w:rPr>
      </w:pPr>
    </w:p>
    <w:p w:rsidR="00EF68A8" w:rsidRDefault="00EF68A8" w:rsidP="003336F9">
      <w:pPr>
        <w:tabs>
          <w:tab w:val="left" w:pos="840"/>
          <w:tab w:val="left" w:pos="5937"/>
        </w:tabs>
        <w:jc w:val="both"/>
        <w:rPr>
          <w:rFonts w:ascii="Arial" w:eastAsia="Calibri" w:hAnsi="Arial" w:cs="Arial"/>
          <w:lang w:val="es-ES"/>
        </w:rPr>
      </w:pPr>
    </w:p>
    <w:p w:rsidR="00EF68A8" w:rsidRPr="003336F9" w:rsidRDefault="00EF68A8" w:rsidP="003336F9">
      <w:pPr>
        <w:tabs>
          <w:tab w:val="left" w:pos="840"/>
          <w:tab w:val="left" w:pos="5937"/>
        </w:tabs>
        <w:jc w:val="both"/>
        <w:rPr>
          <w:rFonts w:ascii="Arial" w:eastAsia="Calibri" w:hAnsi="Arial" w:cs="Arial"/>
          <w:lang w:val="es-ES"/>
        </w:rPr>
      </w:pPr>
    </w:p>
    <w:tbl>
      <w:tblPr>
        <w:tblW w:w="11284" w:type="dxa"/>
        <w:tblInd w:w="-1003" w:type="dxa"/>
        <w:tblLayout w:type="fixed"/>
        <w:tblCellMar>
          <w:left w:w="70" w:type="dxa"/>
          <w:right w:w="70" w:type="dxa"/>
        </w:tblCellMar>
        <w:tblLook w:val="04A0" w:firstRow="1" w:lastRow="0" w:firstColumn="1" w:lastColumn="0" w:noHBand="0" w:noVBand="1"/>
      </w:tblPr>
      <w:tblGrid>
        <w:gridCol w:w="1186"/>
        <w:gridCol w:w="740"/>
        <w:gridCol w:w="740"/>
        <w:gridCol w:w="886"/>
        <w:gridCol w:w="887"/>
        <w:gridCol w:w="739"/>
        <w:gridCol w:w="740"/>
        <w:gridCol w:w="740"/>
        <w:gridCol w:w="740"/>
        <w:gridCol w:w="886"/>
        <w:gridCol w:w="740"/>
        <w:gridCol w:w="719"/>
        <w:gridCol w:w="716"/>
        <w:gridCol w:w="825"/>
      </w:tblGrid>
      <w:tr w:rsidR="003336F9" w:rsidRPr="003336F9" w:rsidTr="00EF68A8">
        <w:trPr>
          <w:trHeight w:val="220"/>
        </w:trPr>
        <w:tc>
          <w:tcPr>
            <w:tcW w:w="1186" w:type="dxa"/>
            <w:tcBorders>
              <w:top w:val="single" w:sz="8" w:space="0" w:color="auto"/>
              <w:left w:val="single" w:sz="8" w:space="0" w:color="auto"/>
              <w:bottom w:val="nil"/>
              <w:right w:val="single" w:sz="8" w:space="0" w:color="auto"/>
            </w:tcBorders>
            <w:shd w:val="clear" w:color="auto" w:fill="BDD6EE"/>
            <w:vAlign w:val="center"/>
            <w:hideMark/>
          </w:tcPr>
          <w:p w:rsidR="003336F9" w:rsidRPr="003336F9" w:rsidRDefault="003336F9" w:rsidP="003336F9">
            <w:pPr>
              <w:spacing w:after="0" w:line="240" w:lineRule="auto"/>
              <w:jc w:val="center"/>
              <w:rPr>
                <w:rFonts w:ascii="Calibri" w:eastAsia="Times New Roman" w:hAnsi="Calibri" w:cs="Calibri"/>
                <w:color w:val="000000"/>
                <w:lang w:eastAsia="es-CO"/>
              </w:rPr>
            </w:pPr>
            <w:bookmarkStart w:id="0" w:name="_GoBack"/>
            <w:bookmarkEnd w:id="0"/>
            <w:r w:rsidRPr="003336F9">
              <w:rPr>
                <w:rFonts w:ascii="Calibri" w:eastAsia="Times New Roman" w:hAnsi="Calibri" w:cs="Calibri"/>
                <w:color w:val="000000"/>
                <w:lang w:eastAsia="es-CO"/>
              </w:rPr>
              <w:lastRenderedPageBreak/>
              <w:t> </w:t>
            </w:r>
          </w:p>
        </w:tc>
        <w:tc>
          <w:tcPr>
            <w:tcW w:w="740"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740"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 </w:t>
            </w:r>
          </w:p>
        </w:tc>
        <w:tc>
          <w:tcPr>
            <w:tcW w:w="886"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887"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739"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740"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740"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740"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886"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740"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719"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716" w:type="dxa"/>
            <w:tcBorders>
              <w:top w:val="single" w:sz="8" w:space="0" w:color="auto"/>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color w:val="000000"/>
                <w:sz w:val="16"/>
                <w:szCs w:val="16"/>
                <w:lang w:eastAsia="es-CO"/>
              </w:rPr>
            </w:pPr>
            <w:r w:rsidRPr="003336F9">
              <w:rPr>
                <w:rFonts w:ascii="Calibri" w:eastAsia="Times New Roman" w:hAnsi="Calibri" w:cs="Calibri"/>
                <w:color w:val="000000"/>
                <w:sz w:val="16"/>
                <w:szCs w:val="16"/>
                <w:lang w:eastAsia="es-CO"/>
              </w:rPr>
              <w:t> </w:t>
            </w:r>
          </w:p>
        </w:tc>
        <w:tc>
          <w:tcPr>
            <w:tcW w:w="825" w:type="dxa"/>
            <w:vMerge w:val="restart"/>
            <w:tcBorders>
              <w:top w:val="single" w:sz="8" w:space="0" w:color="auto"/>
              <w:left w:val="single" w:sz="8" w:space="0" w:color="auto"/>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 xml:space="preserve">Total </w:t>
            </w:r>
          </w:p>
        </w:tc>
      </w:tr>
      <w:tr w:rsidR="003336F9" w:rsidRPr="003336F9" w:rsidTr="00EF68A8">
        <w:trPr>
          <w:trHeight w:val="869"/>
        </w:trPr>
        <w:tc>
          <w:tcPr>
            <w:tcW w:w="1186" w:type="dxa"/>
            <w:tcBorders>
              <w:top w:val="nil"/>
              <w:left w:val="single" w:sz="8" w:space="0" w:color="auto"/>
              <w:bottom w:val="nil"/>
              <w:right w:val="single" w:sz="8" w:space="0" w:color="auto"/>
            </w:tcBorders>
            <w:shd w:val="clear" w:color="auto" w:fill="BDD6EE"/>
            <w:vAlign w:val="center"/>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b/>
                <w:bCs/>
                <w:color w:val="000000"/>
                <w:sz w:val="18"/>
                <w:szCs w:val="18"/>
                <w:lang w:eastAsia="es-CO"/>
              </w:rPr>
              <w:t>MES</w:t>
            </w:r>
          </w:p>
        </w:tc>
        <w:tc>
          <w:tcPr>
            <w:tcW w:w="740"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ENERO</w:t>
            </w:r>
          </w:p>
        </w:tc>
        <w:tc>
          <w:tcPr>
            <w:tcW w:w="740"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 xml:space="preserve">    FEBRERO</w:t>
            </w:r>
          </w:p>
        </w:tc>
        <w:tc>
          <w:tcPr>
            <w:tcW w:w="886"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MARZO</w:t>
            </w:r>
          </w:p>
        </w:tc>
        <w:tc>
          <w:tcPr>
            <w:tcW w:w="887"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ABRIL</w:t>
            </w:r>
          </w:p>
        </w:tc>
        <w:tc>
          <w:tcPr>
            <w:tcW w:w="739"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MAYO</w:t>
            </w:r>
          </w:p>
        </w:tc>
        <w:tc>
          <w:tcPr>
            <w:tcW w:w="740"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JUNIO</w:t>
            </w:r>
          </w:p>
        </w:tc>
        <w:tc>
          <w:tcPr>
            <w:tcW w:w="740"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JULIO</w:t>
            </w:r>
          </w:p>
        </w:tc>
        <w:tc>
          <w:tcPr>
            <w:tcW w:w="740"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AGOSTO</w:t>
            </w:r>
          </w:p>
        </w:tc>
        <w:tc>
          <w:tcPr>
            <w:tcW w:w="886"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SEPTIEMBRE</w:t>
            </w:r>
          </w:p>
        </w:tc>
        <w:tc>
          <w:tcPr>
            <w:tcW w:w="740"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OCTUBRE</w:t>
            </w:r>
          </w:p>
        </w:tc>
        <w:tc>
          <w:tcPr>
            <w:tcW w:w="719"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NOVIEMBRE</w:t>
            </w:r>
          </w:p>
        </w:tc>
        <w:tc>
          <w:tcPr>
            <w:tcW w:w="716" w:type="dxa"/>
            <w:tcBorders>
              <w:top w:val="nil"/>
              <w:left w:val="nil"/>
              <w:bottom w:val="nil"/>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DICIEMBRE</w:t>
            </w:r>
          </w:p>
        </w:tc>
        <w:tc>
          <w:tcPr>
            <w:tcW w:w="825" w:type="dxa"/>
            <w:vMerge/>
            <w:tcBorders>
              <w:top w:val="single" w:sz="8" w:space="0" w:color="auto"/>
              <w:left w:val="single" w:sz="8" w:space="0" w:color="auto"/>
              <w:bottom w:val="nil"/>
              <w:right w:val="single" w:sz="8" w:space="0" w:color="auto"/>
            </w:tcBorders>
            <w:shd w:val="clear" w:color="auto" w:fill="BDD6EE"/>
            <w:vAlign w:val="center"/>
            <w:hideMark/>
          </w:tcPr>
          <w:p w:rsidR="003336F9" w:rsidRPr="003336F9" w:rsidRDefault="003336F9" w:rsidP="003336F9">
            <w:pPr>
              <w:spacing w:after="0" w:line="240" w:lineRule="auto"/>
              <w:rPr>
                <w:rFonts w:ascii="Calibri" w:eastAsia="Times New Roman" w:hAnsi="Calibri" w:cs="Calibri"/>
                <w:b/>
                <w:bCs/>
                <w:color w:val="000000"/>
                <w:sz w:val="16"/>
                <w:szCs w:val="16"/>
                <w:lang w:eastAsia="es-CO"/>
              </w:rPr>
            </w:pPr>
          </w:p>
        </w:tc>
      </w:tr>
      <w:tr w:rsidR="003336F9" w:rsidRPr="003336F9" w:rsidTr="00EF68A8">
        <w:trPr>
          <w:trHeight w:val="220"/>
        </w:trPr>
        <w:tc>
          <w:tcPr>
            <w:tcW w:w="1186" w:type="dxa"/>
            <w:tcBorders>
              <w:top w:val="nil"/>
              <w:left w:val="single" w:sz="8" w:space="0" w:color="auto"/>
              <w:bottom w:val="single" w:sz="8" w:space="0" w:color="auto"/>
              <w:right w:val="single" w:sz="8" w:space="0" w:color="auto"/>
            </w:tcBorders>
            <w:shd w:val="clear" w:color="auto" w:fill="BDD6EE"/>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8"/>
                <w:szCs w:val="18"/>
                <w:lang w:eastAsia="es-CO"/>
              </w:rPr>
            </w:pPr>
            <w:r w:rsidRPr="003336F9">
              <w:rPr>
                <w:rFonts w:ascii="Calibri" w:eastAsia="Times New Roman" w:hAnsi="Calibri" w:cs="Calibri"/>
                <w:b/>
                <w:bCs/>
                <w:color w:val="000000"/>
                <w:sz w:val="18"/>
                <w:szCs w:val="18"/>
                <w:lang w:eastAsia="es-CO"/>
              </w:rPr>
              <w:t>2024</w:t>
            </w:r>
          </w:p>
        </w:tc>
        <w:tc>
          <w:tcPr>
            <w:tcW w:w="740"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740"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886"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887"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739"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740"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740"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740"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886" w:type="dxa"/>
            <w:tcBorders>
              <w:top w:val="nil"/>
              <w:left w:val="nil"/>
              <w:bottom w:val="single" w:sz="4" w:space="0" w:color="auto"/>
              <w:right w:val="single" w:sz="8" w:space="0" w:color="auto"/>
            </w:tcBorders>
            <w:shd w:val="clear" w:color="auto" w:fill="BDD6EE"/>
            <w:textDirection w:val="btLr"/>
            <w:vAlign w:val="center"/>
            <w:hideMark/>
          </w:tcPr>
          <w:p w:rsidR="003336F9" w:rsidRPr="003336F9" w:rsidRDefault="003336F9" w:rsidP="003336F9">
            <w:pPr>
              <w:spacing w:after="0" w:line="240" w:lineRule="auto"/>
              <w:jc w:val="center"/>
              <w:rPr>
                <w:rFonts w:ascii="Calibri" w:eastAsia="Times New Roman" w:hAnsi="Calibri" w:cs="Calibri"/>
                <w:b/>
                <w:bCs/>
                <w:color w:val="000000"/>
                <w:sz w:val="18"/>
                <w:szCs w:val="18"/>
                <w:lang w:eastAsia="es-CO"/>
              </w:rPr>
            </w:pPr>
            <w:r w:rsidRPr="003336F9">
              <w:rPr>
                <w:rFonts w:ascii="Calibri" w:eastAsia="Times New Roman" w:hAnsi="Calibri" w:cs="Calibri"/>
                <w:b/>
                <w:bCs/>
                <w:color w:val="000000"/>
                <w:sz w:val="18"/>
                <w:szCs w:val="18"/>
                <w:lang w:eastAsia="es-CO"/>
              </w:rPr>
              <w:t> </w:t>
            </w:r>
          </w:p>
        </w:tc>
        <w:tc>
          <w:tcPr>
            <w:tcW w:w="740"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719"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716" w:type="dxa"/>
            <w:tcBorders>
              <w:top w:val="nil"/>
              <w:left w:val="nil"/>
              <w:bottom w:val="single" w:sz="4" w:space="0" w:color="auto"/>
              <w:right w:val="single" w:sz="8" w:space="0" w:color="auto"/>
            </w:tcBorders>
            <w:shd w:val="clear" w:color="auto" w:fill="BDD6EE"/>
            <w:textDirection w:val="btLr"/>
            <w:vAlign w:val="bottom"/>
            <w:hideMark/>
          </w:tcPr>
          <w:p w:rsidR="003336F9" w:rsidRPr="003336F9" w:rsidRDefault="003336F9" w:rsidP="003336F9">
            <w:pPr>
              <w:spacing w:after="0" w:line="240" w:lineRule="auto"/>
              <w:jc w:val="center"/>
              <w:rPr>
                <w:rFonts w:ascii="Calibri" w:eastAsia="Times New Roman" w:hAnsi="Calibri" w:cs="Calibri"/>
                <w:color w:val="000000"/>
                <w:lang w:eastAsia="es-CO"/>
              </w:rPr>
            </w:pPr>
            <w:r w:rsidRPr="003336F9">
              <w:rPr>
                <w:rFonts w:ascii="Calibri" w:eastAsia="Times New Roman" w:hAnsi="Calibri" w:cs="Calibri"/>
                <w:color w:val="000000"/>
                <w:lang w:eastAsia="es-CO"/>
              </w:rPr>
              <w:t> </w:t>
            </w:r>
          </w:p>
        </w:tc>
        <w:tc>
          <w:tcPr>
            <w:tcW w:w="825" w:type="dxa"/>
            <w:vMerge/>
            <w:tcBorders>
              <w:top w:val="single" w:sz="8" w:space="0" w:color="auto"/>
              <w:left w:val="single" w:sz="8" w:space="0" w:color="auto"/>
              <w:bottom w:val="single" w:sz="4" w:space="0" w:color="auto"/>
              <w:right w:val="single" w:sz="8" w:space="0" w:color="auto"/>
            </w:tcBorders>
            <w:shd w:val="clear" w:color="auto" w:fill="BDD6EE"/>
            <w:vAlign w:val="center"/>
            <w:hideMark/>
          </w:tcPr>
          <w:p w:rsidR="003336F9" w:rsidRPr="003336F9" w:rsidRDefault="003336F9" w:rsidP="003336F9">
            <w:pPr>
              <w:spacing w:after="0" w:line="240" w:lineRule="auto"/>
              <w:rPr>
                <w:rFonts w:ascii="Calibri" w:eastAsia="Times New Roman" w:hAnsi="Calibri" w:cs="Calibri"/>
                <w:b/>
                <w:bCs/>
                <w:color w:val="000000"/>
                <w:sz w:val="18"/>
                <w:szCs w:val="18"/>
                <w:lang w:eastAsia="es-CO"/>
              </w:rPr>
            </w:pPr>
          </w:p>
        </w:tc>
      </w:tr>
      <w:tr w:rsidR="003336F9" w:rsidRPr="003336F9" w:rsidTr="00EF68A8">
        <w:trPr>
          <w:trHeight w:val="458"/>
        </w:trPr>
        <w:tc>
          <w:tcPr>
            <w:tcW w:w="1186" w:type="dxa"/>
            <w:vMerge w:val="restart"/>
            <w:tcBorders>
              <w:top w:val="nil"/>
              <w:left w:val="single" w:sz="8" w:space="0" w:color="auto"/>
              <w:bottom w:val="single" w:sz="8" w:space="0" w:color="000000"/>
              <w:right w:val="single" w:sz="4" w:space="0" w:color="auto"/>
            </w:tcBorders>
            <w:shd w:val="clear" w:color="auto" w:fill="BDD6EE"/>
            <w:vAlign w:val="center"/>
            <w:hideMark/>
          </w:tcPr>
          <w:p w:rsidR="003336F9" w:rsidRPr="003336F9" w:rsidRDefault="003336F9" w:rsidP="003336F9">
            <w:pPr>
              <w:spacing w:after="0" w:line="240" w:lineRule="auto"/>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ATENCIONES</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296.543</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320.003</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305.850</w:t>
            </w:r>
          </w:p>
        </w:tc>
        <w:tc>
          <w:tcPr>
            <w:tcW w:w="887" w:type="dxa"/>
            <w:vMerge w:val="restart"/>
            <w:tcBorders>
              <w:top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334.303</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344.452</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327.314</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359.772</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338.731</w:t>
            </w:r>
          </w:p>
        </w:tc>
        <w:tc>
          <w:tcPr>
            <w:tcW w:w="886" w:type="dxa"/>
            <w:vMerge w:val="restart"/>
            <w:tcBorders>
              <w:top w:val="single" w:sz="4" w:space="0" w:color="auto"/>
              <w:left w:val="single" w:sz="4" w:space="0" w:color="auto"/>
              <w:bottom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 xml:space="preserve">320.887  </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329.704</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335.556</w:t>
            </w:r>
          </w:p>
        </w:tc>
        <w:tc>
          <w:tcPr>
            <w:tcW w:w="716"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361.315</w:t>
            </w:r>
          </w:p>
        </w:tc>
        <w:tc>
          <w:tcPr>
            <w:tcW w:w="825" w:type="dxa"/>
            <w:vMerge w:val="restart"/>
            <w:tcBorders>
              <w:top w:val="single" w:sz="8" w:space="0" w:color="auto"/>
              <w:left w:val="single" w:sz="8" w:space="0" w:color="auto"/>
              <w:bottom w:val="single" w:sz="8" w:space="0" w:color="000000"/>
              <w:right w:val="single" w:sz="8" w:space="0" w:color="auto"/>
            </w:tcBorders>
            <w:shd w:val="clear" w:color="000000" w:fill="F2F7FC"/>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3.974.430</w:t>
            </w:r>
          </w:p>
        </w:tc>
      </w:tr>
      <w:tr w:rsidR="003336F9" w:rsidRPr="003336F9" w:rsidTr="00EF68A8">
        <w:trPr>
          <w:trHeight w:val="573"/>
        </w:trPr>
        <w:tc>
          <w:tcPr>
            <w:tcW w:w="1186" w:type="dxa"/>
            <w:vMerge/>
            <w:tcBorders>
              <w:top w:val="nil"/>
              <w:left w:val="single" w:sz="8" w:space="0" w:color="auto"/>
              <w:bottom w:val="single" w:sz="8" w:space="0" w:color="000000"/>
              <w:right w:val="single" w:sz="4" w:space="0" w:color="auto"/>
            </w:tcBorders>
            <w:shd w:val="clear" w:color="auto" w:fill="BDD6EE"/>
            <w:vAlign w:val="center"/>
            <w:hideMark/>
          </w:tcPr>
          <w:p w:rsidR="003336F9" w:rsidRPr="003336F9" w:rsidRDefault="003336F9" w:rsidP="003336F9">
            <w:pPr>
              <w:spacing w:after="0" w:line="240" w:lineRule="auto"/>
              <w:rPr>
                <w:rFonts w:ascii="Calibri" w:eastAsia="Times New Roman" w:hAnsi="Calibri" w:cs="Calibri"/>
                <w:b/>
                <w:bCs/>
                <w:color w:val="000000"/>
                <w:sz w:val="16"/>
                <w:szCs w:val="16"/>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88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887"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739"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88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719"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71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c>
          <w:tcPr>
            <w:tcW w:w="825" w:type="dxa"/>
            <w:vMerge/>
            <w:tcBorders>
              <w:top w:val="single" w:sz="8" w:space="0" w:color="auto"/>
              <w:left w:val="single" w:sz="8" w:space="0" w:color="auto"/>
              <w:bottom w:val="single" w:sz="8" w:space="0" w:color="000000"/>
              <w:right w:val="single" w:sz="8" w:space="0" w:color="auto"/>
            </w:tcBorders>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tc>
      </w:tr>
      <w:tr w:rsidR="003336F9" w:rsidRPr="003336F9" w:rsidTr="00EF68A8">
        <w:trPr>
          <w:trHeight w:val="267"/>
        </w:trPr>
        <w:tc>
          <w:tcPr>
            <w:tcW w:w="1186" w:type="dxa"/>
            <w:tcBorders>
              <w:top w:val="nil"/>
              <w:left w:val="single" w:sz="8" w:space="0" w:color="auto"/>
              <w:bottom w:val="single" w:sz="8" w:space="0" w:color="auto"/>
              <w:right w:val="single" w:sz="4" w:space="0" w:color="auto"/>
            </w:tcBorders>
            <w:shd w:val="clear" w:color="auto" w:fill="BDD6EE"/>
            <w:vAlign w:val="center"/>
            <w:hideMark/>
          </w:tcPr>
          <w:p w:rsidR="003336F9" w:rsidRPr="003336F9" w:rsidRDefault="003336F9" w:rsidP="003336F9">
            <w:pPr>
              <w:spacing w:after="0" w:line="240" w:lineRule="auto"/>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eastAsia="es-CO"/>
              </w:rPr>
              <w:t>PQRS</w:t>
            </w:r>
          </w:p>
        </w:tc>
        <w:tc>
          <w:tcPr>
            <w:tcW w:w="740" w:type="dxa"/>
            <w:tcBorders>
              <w:top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461</w:t>
            </w:r>
          </w:p>
        </w:tc>
        <w:tc>
          <w:tcPr>
            <w:tcW w:w="740"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520</w:t>
            </w:r>
          </w:p>
        </w:tc>
        <w:tc>
          <w:tcPr>
            <w:tcW w:w="886"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534</w:t>
            </w:r>
          </w:p>
        </w:tc>
        <w:tc>
          <w:tcPr>
            <w:tcW w:w="887"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618</w:t>
            </w:r>
          </w:p>
        </w:tc>
        <w:tc>
          <w:tcPr>
            <w:tcW w:w="739"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506</w:t>
            </w:r>
          </w:p>
        </w:tc>
        <w:tc>
          <w:tcPr>
            <w:tcW w:w="740"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399</w:t>
            </w:r>
          </w:p>
        </w:tc>
        <w:tc>
          <w:tcPr>
            <w:tcW w:w="740" w:type="dxa"/>
            <w:tcBorders>
              <w:top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583</w:t>
            </w:r>
          </w:p>
        </w:tc>
        <w:tc>
          <w:tcPr>
            <w:tcW w:w="740"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516</w:t>
            </w:r>
          </w:p>
        </w:tc>
        <w:tc>
          <w:tcPr>
            <w:tcW w:w="886" w:type="dxa"/>
            <w:tcBorders>
              <w:top w:val="single" w:sz="4" w:space="0" w:color="auto"/>
              <w:left w:val="single" w:sz="4" w:space="0" w:color="auto"/>
              <w:bottom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517</w:t>
            </w:r>
          </w:p>
        </w:tc>
        <w:tc>
          <w:tcPr>
            <w:tcW w:w="740"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573</w:t>
            </w:r>
          </w:p>
        </w:tc>
        <w:tc>
          <w:tcPr>
            <w:tcW w:w="719"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443</w:t>
            </w:r>
          </w:p>
        </w:tc>
        <w:tc>
          <w:tcPr>
            <w:tcW w:w="716" w:type="dxa"/>
            <w:tcBorders>
              <w:top w:val="single" w:sz="4" w:space="0" w:color="auto"/>
              <w:left w:val="single" w:sz="4" w:space="0" w:color="auto"/>
              <w:bottom w:val="single" w:sz="4" w:space="0" w:color="auto"/>
              <w:right w:val="single" w:sz="4" w:space="0" w:color="auto"/>
            </w:tcBorders>
            <w:shd w:val="clear" w:color="auto" w:fill="D0CECE"/>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451</w:t>
            </w:r>
          </w:p>
        </w:tc>
        <w:tc>
          <w:tcPr>
            <w:tcW w:w="825" w:type="dxa"/>
            <w:tcBorders>
              <w:top w:val="single" w:sz="4" w:space="0" w:color="auto"/>
              <w:left w:val="single" w:sz="4" w:space="0" w:color="auto"/>
              <w:bottom w:val="single" w:sz="4" w:space="0" w:color="auto"/>
              <w:right w:val="single" w:sz="4" w:space="0" w:color="auto"/>
            </w:tcBorders>
            <w:shd w:val="clear" w:color="auto" w:fill="D9D9D9"/>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6121</w:t>
            </w:r>
          </w:p>
        </w:tc>
      </w:tr>
      <w:tr w:rsidR="003336F9" w:rsidRPr="003336F9" w:rsidTr="00EF68A8">
        <w:trPr>
          <w:trHeight w:val="458"/>
        </w:trPr>
        <w:tc>
          <w:tcPr>
            <w:tcW w:w="1186" w:type="dxa"/>
            <w:vMerge w:val="restart"/>
            <w:tcBorders>
              <w:top w:val="nil"/>
              <w:left w:val="single" w:sz="8" w:space="0" w:color="auto"/>
              <w:right w:val="single" w:sz="4" w:space="0" w:color="auto"/>
            </w:tcBorders>
            <w:shd w:val="clear" w:color="auto" w:fill="BDD6EE"/>
            <w:vAlign w:val="center"/>
            <w:hideMark/>
          </w:tcPr>
          <w:p w:rsidR="003336F9" w:rsidRPr="003336F9" w:rsidRDefault="003336F9" w:rsidP="003336F9">
            <w:pPr>
              <w:spacing w:after="0" w:line="240" w:lineRule="auto"/>
              <w:rPr>
                <w:rFonts w:ascii="Calibri" w:eastAsia="Times New Roman" w:hAnsi="Calibri" w:cs="Calibri"/>
                <w:b/>
                <w:bCs/>
                <w:color w:val="000000"/>
                <w:sz w:val="16"/>
                <w:szCs w:val="16"/>
                <w:lang w:eastAsia="es-CO"/>
              </w:rPr>
            </w:pPr>
            <w:r w:rsidRPr="003336F9">
              <w:rPr>
                <w:rFonts w:ascii="Calibri" w:eastAsia="Times New Roman" w:hAnsi="Calibri" w:cs="Calibri"/>
                <w:b/>
                <w:bCs/>
                <w:color w:val="000000"/>
                <w:sz w:val="16"/>
                <w:szCs w:val="16"/>
                <w:lang w:val="es-ES" w:eastAsia="es-CO"/>
              </w:rPr>
              <w:t>TASA</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1.6</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1.6</w:t>
            </w:r>
          </w:p>
        </w:tc>
        <w:tc>
          <w:tcPr>
            <w:tcW w:w="886"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1.7</w:t>
            </w:r>
          </w:p>
        </w:tc>
        <w:tc>
          <w:tcPr>
            <w:tcW w:w="887" w:type="dxa"/>
            <w:vMerge w:val="restart"/>
            <w:tcBorders>
              <w:top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1.8</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1.5</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1.2</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1.6</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1.5</w:t>
            </w:r>
          </w:p>
        </w:tc>
        <w:tc>
          <w:tcPr>
            <w:tcW w:w="886" w:type="dxa"/>
            <w:vMerge w:val="restart"/>
            <w:tcBorders>
              <w:top w:val="single" w:sz="4" w:space="0" w:color="auto"/>
              <w:left w:val="single" w:sz="4" w:space="0" w:color="auto"/>
              <w:bottom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1.6</w:t>
            </w:r>
          </w:p>
        </w:tc>
        <w:tc>
          <w:tcPr>
            <w:tcW w:w="740"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1.7</w:t>
            </w:r>
          </w:p>
        </w:tc>
        <w:tc>
          <w:tcPr>
            <w:tcW w:w="719"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1.3</w:t>
            </w:r>
          </w:p>
        </w:tc>
        <w:tc>
          <w:tcPr>
            <w:tcW w:w="716" w:type="dxa"/>
            <w:vMerge w:val="restart"/>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p>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1.2</w:t>
            </w:r>
          </w:p>
        </w:tc>
        <w:tc>
          <w:tcPr>
            <w:tcW w:w="825" w:type="dxa"/>
            <w:vMerge w:val="restart"/>
            <w:tcBorders>
              <w:top w:val="single" w:sz="4" w:space="0" w:color="auto"/>
              <w:left w:val="single" w:sz="4" w:space="0" w:color="auto"/>
              <w:bottom w:val="single" w:sz="4" w:space="0" w:color="auto"/>
              <w:right w:val="single" w:sz="4" w:space="0" w:color="auto"/>
            </w:tcBorders>
            <w:shd w:val="clear" w:color="auto" w:fill="F2F7FC"/>
            <w:vAlign w:val="center"/>
          </w:tcPr>
          <w:p w:rsidR="003336F9" w:rsidRPr="003336F9" w:rsidRDefault="003336F9" w:rsidP="003336F9">
            <w:pPr>
              <w:spacing w:after="0" w:line="240" w:lineRule="auto"/>
              <w:jc w:val="center"/>
              <w:rPr>
                <w:rFonts w:ascii="Calibri" w:eastAsia="Times New Roman" w:hAnsi="Calibri" w:cs="Calibri"/>
                <w:b/>
                <w:bCs/>
                <w:color w:val="000000"/>
                <w:sz w:val="14"/>
                <w:szCs w:val="14"/>
                <w:lang w:eastAsia="es-CO"/>
              </w:rPr>
            </w:pPr>
            <w:r w:rsidRPr="003336F9">
              <w:rPr>
                <w:rFonts w:ascii="Calibri" w:eastAsia="Times New Roman" w:hAnsi="Calibri" w:cs="Calibri"/>
                <w:b/>
                <w:bCs/>
                <w:color w:val="000000"/>
                <w:sz w:val="14"/>
                <w:szCs w:val="14"/>
                <w:lang w:eastAsia="es-CO"/>
              </w:rPr>
              <w:t>1.5</w:t>
            </w:r>
          </w:p>
        </w:tc>
      </w:tr>
      <w:tr w:rsidR="003336F9" w:rsidRPr="003336F9" w:rsidTr="00EF68A8">
        <w:trPr>
          <w:trHeight w:val="458"/>
        </w:trPr>
        <w:tc>
          <w:tcPr>
            <w:tcW w:w="1186" w:type="dxa"/>
            <w:vMerge/>
            <w:tcBorders>
              <w:left w:val="single" w:sz="8" w:space="0" w:color="auto"/>
              <w:bottom w:val="single" w:sz="8" w:space="0" w:color="000000"/>
              <w:right w:val="nil"/>
            </w:tcBorders>
            <w:shd w:val="clear" w:color="auto" w:fill="BDD6EE"/>
            <w:vAlign w:val="center"/>
            <w:hideMark/>
          </w:tcPr>
          <w:p w:rsidR="003336F9" w:rsidRPr="003336F9" w:rsidRDefault="003336F9" w:rsidP="003336F9">
            <w:pPr>
              <w:spacing w:after="0" w:line="240" w:lineRule="auto"/>
              <w:rPr>
                <w:rFonts w:ascii="Calibri" w:eastAsia="Times New Roman" w:hAnsi="Calibri" w:cs="Calibri"/>
                <w:b/>
                <w:bCs/>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88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887"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39"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88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19"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1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825"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3336F9" w:rsidRPr="003336F9" w:rsidRDefault="003336F9" w:rsidP="003336F9">
            <w:pPr>
              <w:spacing w:after="0" w:line="240" w:lineRule="auto"/>
              <w:rPr>
                <w:rFonts w:ascii="Calibri" w:eastAsia="Times New Roman" w:hAnsi="Calibri" w:cs="Calibri"/>
                <w:b/>
                <w:bCs/>
                <w:color w:val="000000"/>
                <w:sz w:val="18"/>
                <w:szCs w:val="18"/>
                <w:lang w:eastAsia="es-CO"/>
              </w:rPr>
            </w:pPr>
          </w:p>
        </w:tc>
      </w:tr>
      <w:tr w:rsidR="003336F9" w:rsidRPr="003336F9" w:rsidTr="00EF68A8">
        <w:trPr>
          <w:trHeight w:val="458"/>
        </w:trPr>
        <w:tc>
          <w:tcPr>
            <w:tcW w:w="1186" w:type="dxa"/>
            <w:vMerge/>
            <w:tcBorders>
              <w:top w:val="nil"/>
              <w:left w:val="single" w:sz="8" w:space="0" w:color="auto"/>
              <w:bottom w:val="single" w:sz="8" w:space="0" w:color="000000"/>
              <w:right w:val="nil"/>
            </w:tcBorders>
            <w:shd w:val="clear" w:color="auto" w:fill="BDD6EE"/>
            <w:vAlign w:val="center"/>
            <w:hideMark/>
          </w:tcPr>
          <w:p w:rsidR="003336F9" w:rsidRPr="003336F9" w:rsidRDefault="003336F9" w:rsidP="003336F9">
            <w:pPr>
              <w:spacing w:after="0" w:line="240" w:lineRule="auto"/>
              <w:rPr>
                <w:rFonts w:ascii="Calibri" w:eastAsia="Times New Roman" w:hAnsi="Calibri" w:cs="Calibri"/>
                <w:b/>
                <w:bCs/>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88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887"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39"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88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40"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19"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716" w:type="dxa"/>
            <w:vMerge/>
            <w:tcBorders>
              <w:top w:val="single" w:sz="4" w:space="0" w:color="auto"/>
              <w:left w:val="single" w:sz="4" w:space="0" w:color="auto"/>
              <w:bottom w:val="single" w:sz="4" w:space="0" w:color="auto"/>
              <w:right w:val="single" w:sz="4" w:space="0" w:color="auto"/>
            </w:tcBorders>
            <w:shd w:val="clear" w:color="auto" w:fill="DEEAF6"/>
            <w:vAlign w:val="center"/>
          </w:tcPr>
          <w:p w:rsidR="003336F9" w:rsidRPr="003336F9" w:rsidRDefault="003336F9" w:rsidP="003336F9">
            <w:pPr>
              <w:spacing w:after="0" w:line="240" w:lineRule="auto"/>
              <w:rPr>
                <w:rFonts w:ascii="Calibri" w:eastAsia="Times New Roman" w:hAnsi="Calibri" w:cs="Calibri"/>
                <w:color w:val="000000"/>
                <w:sz w:val="18"/>
                <w:szCs w:val="18"/>
                <w:lang w:eastAsia="es-CO"/>
              </w:rPr>
            </w:pPr>
          </w:p>
        </w:tc>
        <w:tc>
          <w:tcPr>
            <w:tcW w:w="825" w:type="dxa"/>
            <w:vMerge/>
            <w:tcBorders>
              <w:top w:val="single" w:sz="4" w:space="0" w:color="auto"/>
              <w:left w:val="single" w:sz="4" w:space="0" w:color="auto"/>
              <w:bottom w:val="single" w:sz="4" w:space="0" w:color="auto"/>
              <w:right w:val="single" w:sz="4" w:space="0" w:color="auto"/>
            </w:tcBorders>
            <w:shd w:val="clear" w:color="auto" w:fill="F2F7FC"/>
            <w:vAlign w:val="center"/>
          </w:tcPr>
          <w:p w:rsidR="003336F9" w:rsidRPr="003336F9" w:rsidRDefault="003336F9" w:rsidP="003336F9">
            <w:pPr>
              <w:spacing w:after="0" w:line="240" w:lineRule="auto"/>
              <w:rPr>
                <w:rFonts w:ascii="Calibri" w:eastAsia="Times New Roman" w:hAnsi="Calibri" w:cs="Calibri"/>
                <w:b/>
                <w:bCs/>
                <w:color w:val="000000"/>
                <w:sz w:val="18"/>
                <w:szCs w:val="18"/>
                <w:lang w:eastAsia="es-CO"/>
              </w:rPr>
            </w:pPr>
          </w:p>
        </w:tc>
      </w:tr>
    </w:tbl>
    <w:p w:rsidR="003336F9" w:rsidRDefault="003336F9" w:rsidP="003336F9">
      <w:pPr>
        <w:tabs>
          <w:tab w:val="left" w:pos="840"/>
          <w:tab w:val="left" w:pos="1617"/>
        </w:tabs>
        <w:jc w:val="both"/>
        <w:rPr>
          <w:rFonts w:ascii="Arial" w:eastAsia="Calibri" w:hAnsi="Arial" w:cs="Arial"/>
          <w:lang w:val="es-ES"/>
        </w:rPr>
      </w:pPr>
    </w:p>
    <w:p w:rsidR="003336F9" w:rsidRPr="003336F9" w:rsidRDefault="003336F9" w:rsidP="003336F9">
      <w:pPr>
        <w:tabs>
          <w:tab w:val="left" w:pos="840"/>
          <w:tab w:val="left" w:pos="1617"/>
        </w:tabs>
        <w:jc w:val="both"/>
        <w:rPr>
          <w:rFonts w:ascii="Arial" w:eastAsia="Calibri" w:hAnsi="Arial" w:cs="Arial"/>
          <w:sz w:val="24"/>
          <w:szCs w:val="24"/>
          <w:lang w:val="es-ES"/>
        </w:rPr>
      </w:pPr>
      <w:r w:rsidRPr="003336F9">
        <w:rPr>
          <w:rFonts w:ascii="Arial" w:eastAsia="Calibri" w:hAnsi="Arial" w:cs="Arial"/>
          <w:lang w:val="es-ES"/>
        </w:rPr>
        <w:t>El gráfico anterior muestra que, durante el año 2024, frente a 3.974.430 atenciones que se prestaron en todas las Unidades de la Subred Centro Oriente, se recepcionaron 6.121 requerimientos por parte de los usuarios de los servicios ofertados, lo cual equivale a una tasa de 1.5 que representa que, por cada 1000 atenciones brindadas, menos de 2 usuarios presentaron sus manifestaciones</w:t>
      </w:r>
      <w:r w:rsidRPr="003336F9">
        <w:rPr>
          <w:rFonts w:ascii="Arial" w:eastAsia="Calibri" w:hAnsi="Arial" w:cs="Arial"/>
          <w:sz w:val="24"/>
          <w:szCs w:val="24"/>
          <w:lang w:val="es-ES"/>
        </w:rPr>
        <w:t>.</w:t>
      </w:r>
    </w:p>
    <w:p w:rsidR="001236B1" w:rsidRDefault="001236B1" w:rsidP="001236B1">
      <w:pPr>
        <w:rPr>
          <w:b/>
        </w:rPr>
      </w:pPr>
      <w:r>
        <w:rPr>
          <w:b/>
        </w:rPr>
        <w:t>AÑO 2025 ENERO A MARZO</w:t>
      </w:r>
    </w:p>
    <w:p w:rsidR="001236B1" w:rsidRDefault="001236B1" w:rsidP="001236B1">
      <w:pPr>
        <w:rPr>
          <w:b/>
        </w:rPr>
      </w:pPr>
      <w:r>
        <w:rPr>
          <w:b/>
        </w:rPr>
        <w:t>El informe PQRS del mes de abril, se encuentra en consolidación</w:t>
      </w:r>
    </w:p>
    <w:p w:rsidR="001236B1" w:rsidRPr="001236B1" w:rsidRDefault="001236B1" w:rsidP="001236B1">
      <w:pPr>
        <w:tabs>
          <w:tab w:val="left" w:pos="840"/>
          <w:tab w:val="left" w:pos="1032"/>
          <w:tab w:val="left" w:pos="5937"/>
        </w:tabs>
        <w:jc w:val="both"/>
        <w:rPr>
          <w:rFonts w:ascii="Arial" w:eastAsia="Calibri" w:hAnsi="Arial" w:cs="Arial"/>
          <w:lang w:val="es-ES"/>
        </w:rPr>
      </w:pPr>
      <w:r w:rsidRPr="001236B1">
        <w:rPr>
          <w:rFonts w:ascii="Arial" w:eastAsia="Calibri" w:hAnsi="Arial" w:cs="Arial"/>
          <w:lang w:val="es-ES"/>
        </w:rPr>
        <w:t>En la presentación del comportamiento de las PQRS en la Subred Centro Oriente durante el I Trimestre de 2025, requiere establecer la tasa correspondiente de las atenciones prestadas en la Subred Centro Oriente, durante el período establecido vs el número de requerimientos recibidos durante el mismo momento.</w:t>
      </w:r>
    </w:p>
    <w:tbl>
      <w:tblPr>
        <w:tblW w:w="8635" w:type="dxa"/>
        <w:tblInd w:w="27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2212"/>
        <w:gridCol w:w="1558"/>
        <w:gridCol w:w="1474"/>
        <w:gridCol w:w="1475"/>
        <w:gridCol w:w="1916"/>
      </w:tblGrid>
      <w:tr w:rsidR="001236B1" w:rsidRPr="001236B1" w:rsidTr="001236B1">
        <w:trPr>
          <w:trHeight w:val="515"/>
        </w:trPr>
        <w:tc>
          <w:tcPr>
            <w:tcW w:w="2212" w:type="dxa"/>
            <w:shd w:val="clear" w:color="auto" w:fill="D9E2F3"/>
            <w:hideMark/>
          </w:tcPr>
          <w:p w:rsidR="001236B1" w:rsidRPr="001236B1" w:rsidRDefault="001236B1" w:rsidP="001236B1">
            <w:pPr>
              <w:spacing w:after="0" w:line="240" w:lineRule="auto"/>
              <w:jc w:val="center"/>
              <w:rPr>
                <w:rFonts w:ascii="Calibri" w:eastAsia="Times New Roman" w:hAnsi="Calibri" w:cs="Times New Roman"/>
                <w:b/>
                <w:bCs/>
                <w:color w:val="000000"/>
                <w:lang w:eastAsia="es-CO"/>
              </w:rPr>
            </w:pPr>
            <w:r w:rsidRPr="001236B1">
              <w:rPr>
                <w:rFonts w:ascii="Calibri" w:eastAsia="Times New Roman" w:hAnsi="Calibri" w:cs="Times New Roman"/>
                <w:b/>
                <w:bCs/>
                <w:color w:val="000000"/>
                <w:lang w:eastAsia="es-CO"/>
              </w:rPr>
              <w:t>MES</w:t>
            </w:r>
          </w:p>
        </w:tc>
        <w:tc>
          <w:tcPr>
            <w:tcW w:w="1558" w:type="dxa"/>
            <w:shd w:val="clear" w:color="auto" w:fill="D9E2F3"/>
          </w:tcPr>
          <w:p w:rsidR="001236B1" w:rsidRPr="001236B1" w:rsidRDefault="001236B1" w:rsidP="001236B1">
            <w:pPr>
              <w:jc w:val="center"/>
              <w:rPr>
                <w:rFonts w:ascii="Calibri" w:eastAsia="Calibri" w:hAnsi="Calibri" w:cs="Times New Roman"/>
                <w:b/>
              </w:rPr>
            </w:pPr>
            <w:r w:rsidRPr="001236B1">
              <w:rPr>
                <w:rFonts w:ascii="Calibri" w:eastAsia="Calibri" w:hAnsi="Calibri" w:cs="Times New Roman"/>
                <w:b/>
              </w:rPr>
              <w:t>ENERO</w:t>
            </w:r>
          </w:p>
        </w:tc>
        <w:tc>
          <w:tcPr>
            <w:tcW w:w="1474" w:type="dxa"/>
            <w:shd w:val="clear" w:color="auto" w:fill="D9E2F3"/>
          </w:tcPr>
          <w:p w:rsidR="001236B1" w:rsidRPr="001236B1" w:rsidRDefault="001236B1" w:rsidP="001236B1">
            <w:pPr>
              <w:jc w:val="center"/>
              <w:rPr>
                <w:rFonts w:ascii="Calibri" w:eastAsia="Calibri" w:hAnsi="Calibri" w:cs="Times New Roman"/>
                <w:b/>
              </w:rPr>
            </w:pPr>
            <w:r w:rsidRPr="001236B1">
              <w:rPr>
                <w:rFonts w:ascii="Calibri" w:eastAsia="Calibri" w:hAnsi="Calibri" w:cs="Times New Roman"/>
                <w:b/>
              </w:rPr>
              <w:t>FEBRERO</w:t>
            </w:r>
          </w:p>
        </w:tc>
        <w:tc>
          <w:tcPr>
            <w:tcW w:w="1475" w:type="dxa"/>
            <w:shd w:val="clear" w:color="auto" w:fill="D9E2F3"/>
          </w:tcPr>
          <w:p w:rsidR="001236B1" w:rsidRPr="001236B1" w:rsidRDefault="001236B1" w:rsidP="001236B1">
            <w:pPr>
              <w:widowControl w:val="0"/>
              <w:suppressAutoHyphens/>
              <w:spacing w:after="0" w:line="100" w:lineRule="atLeast"/>
              <w:jc w:val="center"/>
              <w:rPr>
                <w:rFonts w:ascii="Calibri" w:eastAsia="Calibri" w:hAnsi="Calibri" w:cs="Times New Roman"/>
                <w:b/>
                <w:color w:val="00000A"/>
              </w:rPr>
            </w:pPr>
            <w:r w:rsidRPr="001236B1">
              <w:rPr>
                <w:rFonts w:ascii="Calibri" w:eastAsia="Calibri" w:hAnsi="Calibri" w:cs="Times New Roman"/>
                <w:b/>
                <w:color w:val="00000A"/>
              </w:rPr>
              <w:t>MARZO</w:t>
            </w:r>
          </w:p>
        </w:tc>
        <w:tc>
          <w:tcPr>
            <w:tcW w:w="1916" w:type="dxa"/>
            <w:shd w:val="clear" w:color="auto" w:fill="D9E2F3"/>
            <w:hideMark/>
          </w:tcPr>
          <w:p w:rsidR="001236B1" w:rsidRPr="001236B1" w:rsidRDefault="001236B1" w:rsidP="001236B1">
            <w:pPr>
              <w:jc w:val="center"/>
              <w:rPr>
                <w:rFonts w:ascii="Calibri" w:eastAsia="Calibri" w:hAnsi="Calibri" w:cs="Times New Roman"/>
                <w:b/>
              </w:rPr>
            </w:pPr>
            <w:r w:rsidRPr="001236B1">
              <w:rPr>
                <w:rFonts w:ascii="Calibri" w:eastAsia="Calibri" w:hAnsi="Calibri" w:cs="Times New Roman"/>
                <w:b/>
              </w:rPr>
              <w:t>TOTAL</w:t>
            </w:r>
          </w:p>
        </w:tc>
      </w:tr>
      <w:tr w:rsidR="001236B1" w:rsidRPr="001236B1" w:rsidTr="001236B1">
        <w:trPr>
          <w:trHeight w:val="605"/>
        </w:trPr>
        <w:tc>
          <w:tcPr>
            <w:tcW w:w="2212" w:type="dxa"/>
            <w:shd w:val="clear" w:color="auto" w:fill="D9E2F3"/>
            <w:hideMark/>
          </w:tcPr>
          <w:p w:rsidR="001236B1" w:rsidRPr="001236B1" w:rsidRDefault="001236B1" w:rsidP="001236B1">
            <w:pPr>
              <w:spacing w:after="0" w:line="240" w:lineRule="auto"/>
              <w:jc w:val="center"/>
              <w:rPr>
                <w:rFonts w:ascii="Calibri" w:eastAsia="Times New Roman" w:hAnsi="Calibri" w:cs="Times New Roman"/>
                <w:b/>
                <w:bCs/>
                <w:color w:val="000000"/>
                <w:lang w:eastAsia="es-CO"/>
              </w:rPr>
            </w:pPr>
            <w:r w:rsidRPr="001236B1">
              <w:rPr>
                <w:rFonts w:ascii="Calibri" w:eastAsia="Times New Roman" w:hAnsi="Calibri" w:cs="Times New Roman"/>
                <w:b/>
                <w:bCs/>
                <w:color w:val="000000"/>
                <w:lang w:eastAsia="es-CO"/>
              </w:rPr>
              <w:br/>
              <w:t>ATENCIONES</w:t>
            </w:r>
          </w:p>
          <w:p w:rsidR="001236B1" w:rsidRPr="001236B1" w:rsidRDefault="001236B1" w:rsidP="001236B1">
            <w:pPr>
              <w:spacing w:after="0" w:line="240" w:lineRule="auto"/>
              <w:jc w:val="center"/>
              <w:rPr>
                <w:rFonts w:ascii="Calibri" w:eastAsia="Times New Roman" w:hAnsi="Calibri" w:cs="Times New Roman"/>
                <w:b/>
                <w:bCs/>
                <w:color w:val="000000"/>
                <w:lang w:eastAsia="es-CO"/>
              </w:rPr>
            </w:pPr>
          </w:p>
        </w:tc>
        <w:tc>
          <w:tcPr>
            <w:tcW w:w="1558" w:type="dxa"/>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313.426</w:t>
            </w:r>
          </w:p>
        </w:tc>
        <w:tc>
          <w:tcPr>
            <w:tcW w:w="1474" w:type="dxa"/>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340.572</w:t>
            </w:r>
          </w:p>
        </w:tc>
        <w:tc>
          <w:tcPr>
            <w:tcW w:w="1475" w:type="dxa"/>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323.878</w:t>
            </w:r>
          </w:p>
        </w:tc>
        <w:tc>
          <w:tcPr>
            <w:tcW w:w="1916" w:type="dxa"/>
            <w:tcBorders>
              <w:top w:val="single" w:sz="8" w:space="0" w:color="auto"/>
              <w:left w:val="single" w:sz="8" w:space="0" w:color="auto"/>
              <w:bottom w:val="single" w:sz="8" w:space="0" w:color="000000"/>
              <w:right w:val="single" w:sz="8" w:space="0" w:color="auto"/>
            </w:tcBorders>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977.876</w:t>
            </w:r>
          </w:p>
        </w:tc>
      </w:tr>
      <w:tr w:rsidR="001236B1" w:rsidRPr="001236B1" w:rsidTr="001236B1">
        <w:trPr>
          <w:trHeight w:val="508"/>
        </w:trPr>
        <w:tc>
          <w:tcPr>
            <w:tcW w:w="2212" w:type="dxa"/>
            <w:shd w:val="clear" w:color="auto" w:fill="D9E2F3"/>
            <w:hideMark/>
          </w:tcPr>
          <w:p w:rsidR="001236B1" w:rsidRPr="001236B1" w:rsidRDefault="001236B1" w:rsidP="001236B1">
            <w:pPr>
              <w:spacing w:after="0" w:line="240" w:lineRule="auto"/>
              <w:jc w:val="center"/>
              <w:rPr>
                <w:rFonts w:ascii="Calibri" w:eastAsia="Times New Roman" w:hAnsi="Calibri" w:cs="Times New Roman"/>
                <w:b/>
                <w:bCs/>
                <w:color w:val="000000"/>
                <w:lang w:eastAsia="es-CO"/>
              </w:rPr>
            </w:pPr>
            <w:r w:rsidRPr="001236B1">
              <w:rPr>
                <w:rFonts w:ascii="Calibri" w:eastAsia="Times New Roman" w:hAnsi="Calibri" w:cs="Times New Roman"/>
                <w:b/>
                <w:bCs/>
                <w:color w:val="000000"/>
                <w:lang w:eastAsia="es-CO"/>
              </w:rPr>
              <w:t>PQRS</w:t>
            </w:r>
          </w:p>
        </w:tc>
        <w:tc>
          <w:tcPr>
            <w:tcW w:w="1558" w:type="dxa"/>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404</w:t>
            </w:r>
          </w:p>
        </w:tc>
        <w:tc>
          <w:tcPr>
            <w:tcW w:w="1474" w:type="dxa"/>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577</w:t>
            </w:r>
          </w:p>
        </w:tc>
        <w:tc>
          <w:tcPr>
            <w:tcW w:w="1475" w:type="dxa"/>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586</w:t>
            </w:r>
          </w:p>
        </w:tc>
        <w:tc>
          <w:tcPr>
            <w:tcW w:w="1916" w:type="dxa"/>
            <w:tcBorders>
              <w:top w:val="single" w:sz="8" w:space="0" w:color="auto"/>
              <w:left w:val="single" w:sz="8" w:space="0" w:color="auto"/>
              <w:bottom w:val="single" w:sz="8" w:space="0" w:color="000000"/>
              <w:right w:val="single" w:sz="8" w:space="0" w:color="auto"/>
            </w:tcBorders>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1.567</w:t>
            </w:r>
          </w:p>
        </w:tc>
      </w:tr>
      <w:tr w:rsidR="001236B1" w:rsidRPr="001236B1" w:rsidTr="001236B1">
        <w:trPr>
          <w:trHeight w:val="336"/>
        </w:trPr>
        <w:tc>
          <w:tcPr>
            <w:tcW w:w="2212" w:type="dxa"/>
            <w:shd w:val="clear" w:color="auto" w:fill="D9E2F3"/>
            <w:hideMark/>
          </w:tcPr>
          <w:p w:rsidR="001236B1" w:rsidRPr="001236B1" w:rsidRDefault="001236B1" w:rsidP="001236B1">
            <w:pPr>
              <w:spacing w:after="0" w:line="240" w:lineRule="auto"/>
              <w:jc w:val="center"/>
              <w:rPr>
                <w:rFonts w:ascii="Calibri" w:eastAsia="Times New Roman" w:hAnsi="Calibri" w:cs="Times New Roman"/>
                <w:b/>
                <w:bCs/>
                <w:color w:val="000000"/>
                <w:lang w:val="es-ES" w:eastAsia="es-CO"/>
              </w:rPr>
            </w:pPr>
          </w:p>
          <w:p w:rsidR="001236B1" w:rsidRPr="001236B1" w:rsidRDefault="001236B1" w:rsidP="001236B1">
            <w:pPr>
              <w:spacing w:after="0" w:line="240" w:lineRule="auto"/>
              <w:jc w:val="center"/>
              <w:rPr>
                <w:rFonts w:ascii="Calibri" w:eastAsia="Times New Roman" w:hAnsi="Calibri" w:cs="Times New Roman"/>
                <w:b/>
                <w:bCs/>
                <w:color w:val="000000"/>
                <w:lang w:val="es-ES" w:eastAsia="es-CO"/>
              </w:rPr>
            </w:pPr>
            <w:r w:rsidRPr="001236B1">
              <w:rPr>
                <w:rFonts w:ascii="Calibri" w:eastAsia="Times New Roman" w:hAnsi="Calibri" w:cs="Times New Roman"/>
                <w:b/>
                <w:bCs/>
                <w:color w:val="000000"/>
                <w:lang w:val="es-ES" w:eastAsia="es-CO"/>
              </w:rPr>
              <w:t>TASA</w:t>
            </w:r>
          </w:p>
          <w:p w:rsidR="001236B1" w:rsidRPr="001236B1" w:rsidRDefault="001236B1" w:rsidP="001236B1">
            <w:pPr>
              <w:spacing w:after="0" w:line="240" w:lineRule="auto"/>
              <w:jc w:val="center"/>
              <w:rPr>
                <w:rFonts w:ascii="Calibri" w:eastAsia="Times New Roman" w:hAnsi="Calibri" w:cs="Times New Roman"/>
                <w:b/>
                <w:bCs/>
                <w:color w:val="000000"/>
                <w:lang w:eastAsia="es-CO"/>
              </w:rPr>
            </w:pPr>
          </w:p>
        </w:tc>
        <w:tc>
          <w:tcPr>
            <w:tcW w:w="1558" w:type="dxa"/>
            <w:tcBorders>
              <w:right w:val="nil"/>
            </w:tcBorders>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1.3</w:t>
            </w:r>
          </w:p>
        </w:tc>
        <w:tc>
          <w:tcPr>
            <w:tcW w:w="1474" w:type="dxa"/>
            <w:tcBorders>
              <w:right w:val="nil"/>
            </w:tcBorders>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1.7</w:t>
            </w:r>
          </w:p>
        </w:tc>
        <w:tc>
          <w:tcPr>
            <w:tcW w:w="1475" w:type="dxa"/>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1.8</w:t>
            </w:r>
          </w:p>
        </w:tc>
        <w:tc>
          <w:tcPr>
            <w:tcW w:w="1916" w:type="dxa"/>
            <w:tcBorders>
              <w:top w:val="nil"/>
              <w:left w:val="nil"/>
              <w:bottom w:val="single" w:sz="8" w:space="0" w:color="auto"/>
              <w:right w:val="single" w:sz="8" w:space="0" w:color="auto"/>
            </w:tcBorders>
            <w:shd w:val="clear" w:color="auto" w:fill="FFFFFF"/>
          </w:tcPr>
          <w:p w:rsidR="001236B1" w:rsidRPr="001236B1" w:rsidRDefault="001236B1" w:rsidP="001236B1">
            <w:pPr>
              <w:spacing w:after="0" w:line="240" w:lineRule="auto"/>
              <w:jc w:val="center"/>
              <w:rPr>
                <w:rFonts w:ascii="Calibri" w:eastAsia="Calibri" w:hAnsi="Calibri" w:cs="Times New Roman"/>
                <w:b/>
              </w:rPr>
            </w:pPr>
            <w:r w:rsidRPr="001236B1">
              <w:rPr>
                <w:rFonts w:ascii="Calibri" w:eastAsia="Calibri" w:hAnsi="Calibri" w:cs="Times New Roman"/>
                <w:b/>
              </w:rPr>
              <w:t>1.6</w:t>
            </w:r>
          </w:p>
        </w:tc>
      </w:tr>
    </w:tbl>
    <w:p w:rsidR="001236B1" w:rsidRPr="001236B1" w:rsidRDefault="001236B1" w:rsidP="001236B1">
      <w:pPr>
        <w:tabs>
          <w:tab w:val="left" w:pos="840"/>
          <w:tab w:val="left" w:pos="1617"/>
        </w:tabs>
        <w:jc w:val="both"/>
        <w:rPr>
          <w:rFonts w:ascii="Arial" w:eastAsia="Calibri" w:hAnsi="Arial" w:cs="Arial"/>
          <w:lang w:val="es-ES"/>
        </w:rPr>
      </w:pPr>
    </w:p>
    <w:p w:rsidR="001236B1" w:rsidRPr="001236B1" w:rsidRDefault="001236B1" w:rsidP="001236B1">
      <w:pPr>
        <w:tabs>
          <w:tab w:val="left" w:pos="840"/>
          <w:tab w:val="left" w:pos="1617"/>
        </w:tabs>
        <w:jc w:val="both"/>
        <w:rPr>
          <w:rFonts w:ascii="Arial" w:eastAsia="Calibri" w:hAnsi="Arial" w:cs="Arial"/>
          <w:sz w:val="24"/>
          <w:szCs w:val="24"/>
          <w:lang w:val="es-ES"/>
        </w:rPr>
      </w:pPr>
      <w:r w:rsidRPr="001236B1">
        <w:rPr>
          <w:rFonts w:ascii="Arial" w:eastAsia="Calibri" w:hAnsi="Arial" w:cs="Arial"/>
          <w:lang w:val="es-ES"/>
        </w:rPr>
        <w:t xml:space="preserve">El gráfico anterior muestra que, durante el I Trimestre de 2024, frente a 977.876 </w:t>
      </w:r>
      <w:r w:rsidRPr="001236B1">
        <w:rPr>
          <w:rFonts w:ascii="Arial" w:eastAsia="Calibri" w:hAnsi="Arial" w:cs="Arial"/>
          <w:color w:val="000000"/>
          <w:lang w:val="es-ES"/>
        </w:rPr>
        <w:t>atenciones</w:t>
      </w:r>
      <w:r w:rsidRPr="001236B1">
        <w:rPr>
          <w:rFonts w:ascii="Arial" w:eastAsia="Calibri" w:hAnsi="Arial" w:cs="Arial"/>
          <w:lang w:val="es-ES"/>
        </w:rPr>
        <w:t xml:space="preserve"> que se prestaron en todas las Unidades de la Subred Centro Oriente, se recepcionaron 1.567 requerimientos por parte de los usuarios de los servicios ofertados, lo cual equivale a una tasa de 1.6 que representa que, por cada 1000 atenciones brindadas, menos de 2 usuarios presentaron sus manifestaciones</w:t>
      </w:r>
      <w:r w:rsidRPr="001236B1">
        <w:rPr>
          <w:rFonts w:ascii="Arial" w:eastAsia="Calibri" w:hAnsi="Arial" w:cs="Arial"/>
          <w:sz w:val="24"/>
          <w:szCs w:val="24"/>
          <w:lang w:val="es-ES"/>
        </w:rPr>
        <w:t>.</w:t>
      </w:r>
    </w:p>
    <w:p w:rsidR="003336F9" w:rsidRPr="00D45CA0" w:rsidRDefault="003336F9" w:rsidP="00D45CA0">
      <w:pPr>
        <w:spacing w:after="0" w:line="240" w:lineRule="auto"/>
        <w:jc w:val="both"/>
        <w:rPr>
          <w:rFonts w:ascii="Arial" w:eastAsia="Calibri" w:hAnsi="Arial" w:cs="Arial"/>
          <w:b/>
          <w:lang w:val="es-ES"/>
        </w:rPr>
      </w:pPr>
    </w:p>
    <w:sectPr w:rsidR="003336F9" w:rsidRPr="00D45CA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A70"/>
    <w:rsid w:val="00003959"/>
    <w:rsid w:val="00031A4F"/>
    <w:rsid w:val="001236B1"/>
    <w:rsid w:val="00140A32"/>
    <w:rsid w:val="00190858"/>
    <w:rsid w:val="003336F9"/>
    <w:rsid w:val="006340BC"/>
    <w:rsid w:val="00672C94"/>
    <w:rsid w:val="00837A70"/>
    <w:rsid w:val="0088326D"/>
    <w:rsid w:val="00A17F68"/>
    <w:rsid w:val="00B14F87"/>
    <w:rsid w:val="00D45CA0"/>
    <w:rsid w:val="00EF68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E16E9"/>
  <w15:chartTrackingRefBased/>
  <w15:docId w15:val="{57D67CE5-B1E5-46DB-A467-994B65FD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8326D"/>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5.xml"/><Relationship Id="rId3" Type="http://schemas.openxmlformats.org/officeDocument/2006/relationships/webSettings" Target="webSettings.xml"/><Relationship Id="rId7" Type="http://schemas.openxmlformats.org/officeDocument/2006/relationships/chart" Target="charts/chart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3.xml"/><Relationship Id="rId11" Type="http://schemas.openxmlformats.org/officeDocument/2006/relationships/theme" Target="theme/theme1.xml"/><Relationship Id="rId5" Type="http://schemas.openxmlformats.org/officeDocument/2006/relationships/chart" Target="charts/chart2.xml"/><Relationship Id="rId10" Type="http://schemas.openxmlformats.org/officeDocument/2006/relationships/fontTable" Target="fontTable.xml"/><Relationship Id="rId4" Type="http://schemas.openxmlformats.org/officeDocument/2006/relationships/chart" Target="charts/chart1.xml"/><Relationship Id="rId9" Type="http://schemas.openxmlformats.org/officeDocument/2006/relationships/chart" Target="charts/chart6.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1" dirty="0"/>
              <a:t>TOTAL REQUERIMIENTOS AÑO  2023</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view3D>
      <c:rotX val="15"/>
      <c:rotY val="20"/>
      <c:depthPercent val="100"/>
      <c:rAngAx val="1"/>
    </c:view3D>
    <c:floor>
      <c:thickness val="0"/>
      <c:spPr>
        <a:noFill/>
        <a:ln>
          <a:noFill/>
        </a:ln>
        <a:effectLst/>
        <a:sp3d/>
      </c:spPr>
    </c:floor>
    <c:sideWall>
      <c:thickness val="0"/>
      <c:spPr>
        <a:noFill/>
        <a:ln w="57150">
          <a:noFill/>
        </a:ln>
        <a:effectLst/>
        <a:sp3d/>
      </c:spPr>
    </c:sideWall>
    <c:backWall>
      <c:thickness val="0"/>
      <c:spPr>
        <a:noFill/>
        <a:ln w="57150">
          <a:noFill/>
        </a:ln>
        <a:effectLst/>
        <a:sp3d/>
      </c:spPr>
    </c:backWall>
    <c:plotArea>
      <c:layout/>
      <c:bar3DChart>
        <c:barDir val="col"/>
        <c:grouping val="clustered"/>
        <c:varyColors val="0"/>
        <c:ser>
          <c:idx val="0"/>
          <c:order val="0"/>
          <c:tx>
            <c:strRef>
              <c:f>Hoja1!$C$7</c:f>
              <c:strCache>
                <c:ptCount val="1"/>
                <c:pt idx="0">
                  <c:v>PQRS</c:v>
                </c:pt>
              </c:strCache>
            </c:strRef>
          </c:tx>
          <c:spPr>
            <a:solidFill>
              <a:schemeClr val="accent1"/>
            </a:solidFill>
            <a:ln>
              <a:noFill/>
            </a:ln>
            <a:effectLst/>
            <a:sp3d/>
          </c:spPr>
          <c:invertIfNegative val="0"/>
          <c:dPt>
            <c:idx val="0"/>
            <c:invertIfNegative val="0"/>
            <c:bubble3D val="0"/>
            <c:spPr>
              <a:solidFill>
                <a:schemeClr val="accent5">
                  <a:lumMod val="60000"/>
                  <a:lumOff val="40000"/>
                </a:schemeClr>
              </a:solidFill>
              <a:ln>
                <a:noFill/>
              </a:ln>
              <a:effectLst/>
              <a:sp3d/>
            </c:spPr>
            <c:extLst>
              <c:ext xmlns:c16="http://schemas.microsoft.com/office/drawing/2014/chart" uri="{C3380CC4-5D6E-409C-BE32-E72D297353CC}">
                <c16:uniqueId val="{00000001-147F-4B6F-9672-7FCB94BCCC75}"/>
              </c:ext>
            </c:extLst>
          </c:dPt>
          <c:dPt>
            <c:idx val="1"/>
            <c:invertIfNegative val="0"/>
            <c:bubble3D val="0"/>
            <c:spPr>
              <a:solidFill>
                <a:schemeClr val="accent5">
                  <a:lumMod val="75000"/>
                </a:schemeClr>
              </a:solidFill>
              <a:ln>
                <a:noFill/>
              </a:ln>
              <a:effectLst/>
              <a:sp3d/>
            </c:spPr>
            <c:extLst>
              <c:ext xmlns:c16="http://schemas.microsoft.com/office/drawing/2014/chart" uri="{C3380CC4-5D6E-409C-BE32-E72D297353CC}">
                <c16:uniqueId val="{00000003-147F-4B6F-9672-7FCB94BCCC75}"/>
              </c:ext>
            </c:extLst>
          </c:dPt>
          <c:dPt>
            <c:idx val="2"/>
            <c:invertIfNegative val="0"/>
            <c:bubble3D val="0"/>
            <c:spPr>
              <a:solidFill>
                <a:srgbClr val="00B0F0"/>
              </a:solidFill>
              <a:ln>
                <a:noFill/>
              </a:ln>
              <a:effectLst/>
              <a:sp3d/>
            </c:spPr>
            <c:extLst>
              <c:ext xmlns:c16="http://schemas.microsoft.com/office/drawing/2014/chart" uri="{C3380CC4-5D6E-409C-BE32-E72D297353CC}">
                <c16:uniqueId val="{00000005-147F-4B6F-9672-7FCB94BCCC75}"/>
              </c:ext>
            </c:extLst>
          </c:dPt>
          <c:dPt>
            <c:idx val="3"/>
            <c:invertIfNegative val="0"/>
            <c:bubble3D val="0"/>
            <c:spPr>
              <a:solidFill>
                <a:srgbClr val="1D02BE"/>
              </a:solidFill>
              <a:ln>
                <a:noFill/>
              </a:ln>
              <a:effectLst/>
              <a:sp3d/>
            </c:spPr>
            <c:extLst>
              <c:ext xmlns:c16="http://schemas.microsoft.com/office/drawing/2014/chart" uri="{C3380CC4-5D6E-409C-BE32-E72D297353CC}">
                <c16:uniqueId val="{00000007-147F-4B6F-9672-7FCB94BCCC75}"/>
              </c:ext>
            </c:extLst>
          </c:dPt>
          <c:dPt>
            <c:idx val="4"/>
            <c:invertIfNegative val="0"/>
            <c:bubble3D val="0"/>
            <c:spPr>
              <a:solidFill>
                <a:srgbClr val="00CCFF"/>
              </a:solidFill>
              <a:ln>
                <a:noFill/>
              </a:ln>
              <a:effectLst/>
              <a:sp3d/>
            </c:spPr>
            <c:extLst>
              <c:ext xmlns:c16="http://schemas.microsoft.com/office/drawing/2014/chart" uri="{C3380CC4-5D6E-409C-BE32-E72D297353CC}">
                <c16:uniqueId val="{00000009-147F-4B6F-9672-7FCB94BCCC75}"/>
              </c:ext>
            </c:extLst>
          </c:dPt>
          <c:dPt>
            <c:idx val="5"/>
            <c:invertIfNegative val="0"/>
            <c:bubble3D val="0"/>
            <c:spPr>
              <a:solidFill>
                <a:srgbClr val="3399FF"/>
              </a:solidFill>
              <a:ln>
                <a:noFill/>
              </a:ln>
              <a:effectLst/>
              <a:sp3d/>
            </c:spPr>
            <c:extLst>
              <c:ext xmlns:c16="http://schemas.microsoft.com/office/drawing/2014/chart" uri="{C3380CC4-5D6E-409C-BE32-E72D297353CC}">
                <c16:uniqueId val="{0000000B-147F-4B6F-9672-7FCB94BCCC75}"/>
              </c:ext>
            </c:extLst>
          </c:dPt>
          <c:dPt>
            <c:idx val="6"/>
            <c:invertIfNegative val="0"/>
            <c:bubble3D val="0"/>
            <c:spPr>
              <a:solidFill>
                <a:srgbClr val="66FFFF"/>
              </a:solidFill>
              <a:ln>
                <a:noFill/>
              </a:ln>
              <a:effectLst/>
              <a:sp3d/>
            </c:spPr>
            <c:extLst>
              <c:ext xmlns:c16="http://schemas.microsoft.com/office/drawing/2014/chart" uri="{C3380CC4-5D6E-409C-BE32-E72D297353CC}">
                <c16:uniqueId val="{0000000D-147F-4B6F-9672-7FCB94BCCC75}"/>
              </c:ext>
            </c:extLst>
          </c:dPt>
          <c:dPt>
            <c:idx val="7"/>
            <c:invertIfNegative val="0"/>
            <c:bubble3D val="0"/>
            <c:spPr>
              <a:solidFill>
                <a:srgbClr val="3366FF"/>
              </a:solidFill>
              <a:ln>
                <a:noFill/>
              </a:ln>
              <a:effectLst/>
              <a:sp3d/>
            </c:spPr>
            <c:extLst>
              <c:ext xmlns:c16="http://schemas.microsoft.com/office/drawing/2014/chart" uri="{C3380CC4-5D6E-409C-BE32-E72D297353CC}">
                <c16:uniqueId val="{0000000F-147F-4B6F-9672-7FCB94BCCC75}"/>
              </c:ext>
            </c:extLst>
          </c:dPt>
          <c:dPt>
            <c:idx val="8"/>
            <c:invertIfNegative val="0"/>
            <c:bubble3D val="0"/>
            <c:spPr>
              <a:solidFill>
                <a:schemeClr val="accent1">
                  <a:lumMod val="40000"/>
                  <a:lumOff val="60000"/>
                </a:schemeClr>
              </a:solidFill>
              <a:ln>
                <a:noFill/>
              </a:ln>
              <a:effectLst/>
              <a:sp3d/>
            </c:spPr>
            <c:extLst>
              <c:ext xmlns:c16="http://schemas.microsoft.com/office/drawing/2014/chart" uri="{C3380CC4-5D6E-409C-BE32-E72D297353CC}">
                <c16:uniqueId val="{00000011-147F-4B6F-9672-7FCB94BCCC75}"/>
              </c:ext>
            </c:extLst>
          </c:dPt>
          <c:dPt>
            <c:idx val="9"/>
            <c:invertIfNegative val="0"/>
            <c:bubble3D val="0"/>
            <c:spPr>
              <a:solidFill>
                <a:srgbClr val="66CCFF"/>
              </a:solidFill>
              <a:ln>
                <a:noFill/>
              </a:ln>
              <a:effectLst/>
              <a:sp3d/>
            </c:spPr>
            <c:extLst>
              <c:ext xmlns:c16="http://schemas.microsoft.com/office/drawing/2014/chart" uri="{C3380CC4-5D6E-409C-BE32-E72D297353CC}">
                <c16:uniqueId val="{00000013-147F-4B6F-9672-7FCB94BCCC75}"/>
              </c:ext>
            </c:extLst>
          </c:dPt>
          <c:dPt>
            <c:idx val="10"/>
            <c:invertIfNegative val="0"/>
            <c:bubble3D val="0"/>
            <c:spPr>
              <a:solidFill>
                <a:srgbClr val="3366CC"/>
              </a:solidFill>
              <a:ln>
                <a:noFill/>
              </a:ln>
              <a:effectLst/>
              <a:sp3d/>
            </c:spPr>
            <c:extLst>
              <c:ext xmlns:c16="http://schemas.microsoft.com/office/drawing/2014/chart" uri="{C3380CC4-5D6E-409C-BE32-E72D297353CC}">
                <c16:uniqueId val="{00000015-147F-4B6F-9672-7FCB94BCCC75}"/>
              </c:ext>
            </c:extLst>
          </c:dPt>
          <c:dPt>
            <c:idx val="11"/>
            <c:invertIfNegative val="0"/>
            <c:bubble3D val="0"/>
            <c:spPr>
              <a:solidFill>
                <a:srgbClr val="00CCFF"/>
              </a:solidFill>
              <a:ln>
                <a:noFill/>
              </a:ln>
              <a:effectLst/>
              <a:sp3d/>
            </c:spPr>
            <c:extLst>
              <c:ext xmlns:c16="http://schemas.microsoft.com/office/drawing/2014/chart" uri="{C3380CC4-5D6E-409C-BE32-E72D297353CC}">
                <c16:uniqueId val="{00000017-147F-4B6F-9672-7FCB94BCCC75}"/>
              </c:ext>
            </c:extLst>
          </c:dPt>
          <c:dPt>
            <c:idx val="12"/>
            <c:invertIfNegative val="0"/>
            <c:bubble3D val="0"/>
            <c:spPr>
              <a:solidFill>
                <a:srgbClr val="003399"/>
              </a:solidFill>
              <a:ln>
                <a:noFill/>
              </a:ln>
              <a:effectLst/>
              <a:sp3d/>
            </c:spPr>
            <c:extLst>
              <c:ext xmlns:c16="http://schemas.microsoft.com/office/drawing/2014/chart" uri="{C3380CC4-5D6E-409C-BE32-E72D297353CC}">
                <c16:uniqueId val="{00000019-147F-4B6F-9672-7FCB94BCCC75}"/>
              </c:ext>
            </c:extLst>
          </c:dPt>
          <c:dLbls>
            <c:spPr>
              <a:noFill/>
              <a:ln>
                <a:noFill/>
              </a:ln>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Hoja1!$D$7:$P$7</c:f>
              <c:numCache>
                <c:formatCode>General</c:formatCode>
                <c:ptCount val="13"/>
                <c:pt idx="0">
                  <c:v>440</c:v>
                </c:pt>
                <c:pt idx="1">
                  <c:v>534</c:v>
                </c:pt>
                <c:pt idx="2">
                  <c:v>565</c:v>
                </c:pt>
                <c:pt idx="3">
                  <c:v>411</c:v>
                </c:pt>
                <c:pt idx="4">
                  <c:v>572</c:v>
                </c:pt>
                <c:pt idx="5">
                  <c:v>552</c:v>
                </c:pt>
                <c:pt idx="6">
                  <c:v>574</c:v>
                </c:pt>
                <c:pt idx="7">
                  <c:v>505</c:v>
                </c:pt>
                <c:pt idx="8">
                  <c:v>524</c:v>
                </c:pt>
                <c:pt idx="9">
                  <c:v>535</c:v>
                </c:pt>
                <c:pt idx="10">
                  <c:v>440</c:v>
                </c:pt>
                <c:pt idx="11">
                  <c:v>451</c:v>
                </c:pt>
                <c:pt idx="12">
                  <c:v>6103</c:v>
                </c:pt>
              </c:numCache>
            </c:numRef>
          </c:val>
          <c:extLst>
            <c:ext xmlns:c16="http://schemas.microsoft.com/office/drawing/2014/chart" uri="{C3380CC4-5D6E-409C-BE32-E72D297353CC}">
              <c16:uniqueId val="{0000001A-147F-4B6F-9672-7FCB94BCCC75}"/>
            </c:ext>
          </c:extLst>
        </c:ser>
        <c:dLbls>
          <c:showLegendKey val="0"/>
          <c:showVal val="1"/>
          <c:showCatName val="0"/>
          <c:showSerName val="0"/>
          <c:showPercent val="0"/>
          <c:showBubbleSize val="0"/>
        </c:dLbls>
        <c:gapWidth val="150"/>
        <c:shape val="box"/>
        <c:axId val="1483678000"/>
        <c:axId val="1483825856"/>
        <c:axId val="0"/>
      </c:bar3DChart>
      <c:catAx>
        <c:axId val="14836780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s-CO"/>
          </a:p>
        </c:txPr>
        <c:crossAx val="1483825856"/>
        <c:crosses val="autoZero"/>
        <c:auto val="1"/>
        <c:lblAlgn val="ctr"/>
        <c:lblOffset val="100"/>
        <c:noMultiLvlLbl val="0"/>
      </c:catAx>
      <c:valAx>
        <c:axId val="1483825856"/>
        <c:scaling>
          <c:orientation val="minMax"/>
        </c:scaling>
        <c:delete val="1"/>
        <c:axPos val="l"/>
        <c:numFmt formatCode="General" sourceLinked="1"/>
        <c:majorTickMark val="none"/>
        <c:minorTickMark val="none"/>
        <c:tickLblPos val="nextTo"/>
        <c:crossAx val="1483678000"/>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rgbClr val="EFFBFF"/>
    </a:solidFill>
    <a:ln w="12700" cap="flat" cmpd="sng" algn="ctr">
      <a:solidFill>
        <a:srgbClr val="4472C4"/>
      </a:solidFill>
      <a:round/>
    </a:ln>
    <a:effectLst/>
  </c:spPr>
  <c:txPr>
    <a:bodyPr/>
    <a:lstStyle/>
    <a:p>
      <a:pPr>
        <a:defRPr/>
      </a:pPr>
      <a:endParaRPr lang="es-CO"/>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en-US" sz="1200" b="1"/>
              <a:t>TIPOLOGIAS   AÑO 2023</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0"/>
          <c:order val="0"/>
          <c:tx>
            <c:strRef>
              <c:f>Hoja4!$C$7</c:f>
              <c:strCache>
                <c:ptCount val="1"/>
                <c:pt idx="0">
                  <c:v>RECLAMO</c:v>
                </c:pt>
              </c:strCache>
            </c:strRef>
          </c:tx>
          <c:spPr>
            <a:solidFill>
              <a:schemeClr val="accent1"/>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Hoja4!$D$7:$P$7</c:f>
              <c:numCache>
                <c:formatCode>General</c:formatCode>
                <c:ptCount val="13"/>
                <c:pt idx="0">
                  <c:v>204</c:v>
                </c:pt>
                <c:pt idx="1">
                  <c:v>273</c:v>
                </c:pt>
                <c:pt idx="2">
                  <c:v>287</c:v>
                </c:pt>
                <c:pt idx="3">
                  <c:v>216</c:v>
                </c:pt>
                <c:pt idx="4">
                  <c:v>272</c:v>
                </c:pt>
                <c:pt idx="5">
                  <c:v>262</c:v>
                </c:pt>
                <c:pt idx="6">
                  <c:v>274</c:v>
                </c:pt>
                <c:pt idx="7">
                  <c:v>202</c:v>
                </c:pt>
                <c:pt idx="8">
                  <c:v>195</c:v>
                </c:pt>
                <c:pt idx="9">
                  <c:v>207</c:v>
                </c:pt>
                <c:pt idx="10">
                  <c:v>203</c:v>
                </c:pt>
                <c:pt idx="11">
                  <c:v>155</c:v>
                </c:pt>
                <c:pt idx="12">
                  <c:v>2750</c:v>
                </c:pt>
              </c:numCache>
            </c:numRef>
          </c:val>
          <c:extLst>
            <c:ext xmlns:c16="http://schemas.microsoft.com/office/drawing/2014/chart" uri="{C3380CC4-5D6E-409C-BE32-E72D297353CC}">
              <c16:uniqueId val="{00000000-E00C-4E45-9F72-7508B802BDF0}"/>
            </c:ext>
          </c:extLst>
        </c:ser>
        <c:ser>
          <c:idx val="1"/>
          <c:order val="1"/>
          <c:tx>
            <c:strRef>
              <c:f>Hoja4!$C$8</c:f>
              <c:strCache>
                <c:ptCount val="1"/>
                <c:pt idx="0">
                  <c:v>DP_PARTICULAR</c:v>
                </c:pt>
              </c:strCache>
            </c:strRef>
          </c:tx>
          <c:spPr>
            <a:solidFill>
              <a:schemeClr val="accent2"/>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Hoja4!$D$8:$P$8</c:f>
              <c:numCache>
                <c:formatCode>General</c:formatCode>
                <c:ptCount val="13"/>
                <c:pt idx="0">
                  <c:v>115</c:v>
                </c:pt>
                <c:pt idx="1">
                  <c:v>152</c:v>
                </c:pt>
                <c:pt idx="2">
                  <c:v>140</c:v>
                </c:pt>
                <c:pt idx="3">
                  <c:v>106</c:v>
                </c:pt>
                <c:pt idx="4">
                  <c:v>133</c:v>
                </c:pt>
                <c:pt idx="5">
                  <c:v>131</c:v>
                </c:pt>
                <c:pt idx="6">
                  <c:v>152</c:v>
                </c:pt>
                <c:pt idx="7">
                  <c:v>151</c:v>
                </c:pt>
                <c:pt idx="8">
                  <c:v>155</c:v>
                </c:pt>
                <c:pt idx="9">
                  <c:v>138</c:v>
                </c:pt>
                <c:pt idx="10">
                  <c:v>112</c:v>
                </c:pt>
                <c:pt idx="11">
                  <c:v>138</c:v>
                </c:pt>
                <c:pt idx="12">
                  <c:v>1623</c:v>
                </c:pt>
              </c:numCache>
            </c:numRef>
          </c:val>
          <c:extLst>
            <c:ext xmlns:c16="http://schemas.microsoft.com/office/drawing/2014/chart" uri="{C3380CC4-5D6E-409C-BE32-E72D297353CC}">
              <c16:uniqueId val="{00000001-E00C-4E45-9F72-7508B802BDF0}"/>
            </c:ext>
          </c:extLst>
        </c:ser>
        <c:ser>
          <c:idx val="2"/>
          <c:order val="2"/>
          <c:tx>
            <c:strRef>
              <c:f>Hoja4!$C$9</c:f>
              <c:strCache>
                <c:ptCount val="1"/>
                <c:pt idx="0">
                  <c:v>QUEJA</c:v>
                </c:pt>
              </c:strCache>
            </c:strRef>
          </c:tx>
          <c:spPr>
            <a:solidFill>
              <a:schemeClr val="accent3"/>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Hoja4!$D$9:$P$9</c:f>
              <c:numCache>
                <c:formatCode>General</c:formatCode>
                <c:ptCount val="13"/>
                <c:pt idx="0">
                  <c:v>65</c:v>
                </c:pt>
                <c:pt idx="1">
                  <c:v>57</c:v>
                </c:pt>
                <c:pt idx="2">
                  <c:v>71</c:v>
                </c:pt>
                <c:pt idx="3">
                  <c:v>56</c:v>
                </c:pt>
                <c:pt idx="4">
                  <c:v>72</c:v>
                </c:pt>
                <c:pt idx="5">
                  <c:v>90</c:v>
                </c:pt>
                <c:pt idx="6">
                  <c:v>80</c:v>
                </c:pt>
                <c:pt idx="7">
                  <c:v>73</c:v>
                </c:pt>
                <c:pt idx="8">
                  <c:v>61</c:v>
                </c:pt>
                <c:pt idx="9">
                  <c:v>87</c:v>
                </c:pt>
                <c:pt idx="10">
                  <c:v>51</c:v>
                </c:pt>
                <c:pt idx="11">
                  <c:v>66</c:v>
                </c:pt>
                <c:pt idx="12">
                  <c:v>829</c:v>
                </c:pt>
              </c:numCache>
            </c:numRef>
          </c:val>
          <c:extLst>
            <c:ext xmlns:c16="http://schemas.microsoft.com/office/drawing/2014/chart" uri="{C3380CC4-5D6E-409C-BE32-E72D297353CC}">
              <c16:uniqueId val="{00000002-E00C-4E45-9F72-7508B802BDF0}"/>
            </c:ext>
          </c:extLst>
        </c:ser>
        <c:ser>
          <c:idx val="3"/>
          <c:order val="3"/>
          <c:tx>
            <c:strRef>
              <c:f>Hoja4!$C$10</c:f>
              <c:strCache>
                <c:ptCount val="1"/>
                <c:pt idx="0">
                  <c:v>FELICITACIÓN</c:v>
                </c:pt>
              </c:strCache>
            </c:strRef>
          </c:tx>
          <c:spPr>
            <a:solidFill>
              <a:schemeClr val="accent4"/>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Hoja4!$D$10:$P$10</c:f>
              <c:numCache>
                <c:formatCode>General</c:formatCode>
                <c:ptCount val="13"/>
                <c:pt idx="0">
                  <c:v>38</c:v>
                </c:pt>
                <c:pt idx="1">
                  <c:v>39</c:v>
                </c:pt>
                <c:pt idx="2">
                  <c:v>41</c:v>
                </c:pt>
                <c:pt idx="3">
                  <c:v>17</c:v>
                </c:pt>
                <c:pt idx="4">
                  <c:v>71</c:v>
                </c:pt>
                <c:pt idx="5">
                  <c:v>50</c:v>
                </c:pt>
                <c:pt idx="6">
                  <c:v>42</c:v>
                </c:pt>
                <c:pt idx="7">
                  <c:v>72</c:v>
                </c:pt>
                <c:pt idx="8">
                  <c:v>79</c:v>
                </c:pt>
                <c:pt idx="9">
                  <c:v>88</c:v>
                </c:pt>
                <c:pt idx="10">
                  <c:v>57</c:v>
                </c:pt>
                <c:pt idx="11">
                  <c:v>79</c:v>
                </c:pt>
                <c:pt idx="12">
                  <c:v>673</c:v>
                </c:pt>
              </c:numCache>
            </c:numRef>
          </c:val>
          <c:extLst>
            <c:ext xmlns:c16="http://schemas.microsoft.com/office/drawing/2014/chart" uri="{C3380CC4-5D6E-409C-BE32-E72D297353CC}">
              <c16:uniqueId val="{00000003-E00C-4E45-9F72-7508B802BDF0}"/>
            </c:ext>
          </c:extLst>
        </c:ser>
        <c:ser>
          <c:idx val="4"/>
          <c:order val="4"/>
          <c:tx>
            <c:strRef>
              <c:f>Hoja4!$C$11</c:f>
              <c:strCache>
                <c:ptCount val="1"/>
                <c:pt idx="0">
                  <c:v>SOL_INFO</c:v>
                </c:pt>
              </c:strCache>
            </c:strRef>
          </c:tx>
          <c:spPr>
            <a:solidFill>
              <a:schemeClr val="accent5"/>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Hoja4!$D$11:$P$11</c:f>
              <c:numCache>
                <c:formatCode>General</c:formatCode>
                <c:ptCount val="13"/>
                <c:pt idx="0">
                  <c:v>7</c:v>
                </c:pt>
                <c:pt idx="1">
                  <c:v>9</c:v>
                </c:pt>
                <c:pt idx="2">
                  <c:v>13</c:v>
                </c:pt>
                <c:pt idx="3">
                  <c:v>6</c:v>
                </c:pt>
                <c:pt idx="4">
                  <c:v>7</c:v>
                </c:pt>
                <c:pt idx="5">
                  <c:v>3</c:v>
                </c:pt>
                <c:pt idx="6">
                  <c:v>11</c:v>
                </c:pt>
                <c:pt idx="7">
                  <c:v>2</c:v>
                </c:pt>
                <c:pt idx="8">
                  <c:v>4</c:v>
                </c:pt>
                <c:pt idx="9">
                  <c:v>3</c:v>
                </c:pt>
                <c:pt idx="10">
                  <c:v>7</c:v>
                </c:pt>
                <c:pt idx="11">
                  <c:v>4</c:v>
                </c:pt>
                <c:pt idx="12">
                  <c:v>76</c:v>
                </c:pt>
              </c:numCache>
            </c:numRef>
          </c:val>
          <c:extLst>
            <c:ext xmlns:c16="http://schemas.microsoft.com/office/drawing/2014/chart" uri="{C3380CC4-5D6E-409C-BE32-E72D297353CC}">
              <c16:uniqueId val="{00000004-E00C-4E45-9F72-7508B802BDF0}"/>
            </c:ext>
          </c:extLst>
        </c:ser>
        <c:ser>
          <c:idx val="5"/>
          <c:order val="5"/>
          <c:tx>
            <c:strRef>
              <c:f>Hoja4!$C$12</c:f>
              <c:strCache>
                <c:ptCount val="1"/>
                <c:pt idx="0">
                  <c:v>SOL_COPIA</c:v>
                </c:pt>
              </c:strCache>
            </c:strRef>
          </c:tx>
          <c:spPr>
            <a:solidFill>
              <a:schemeClr val="accent6"/>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Hoja4!$D$12:$P$12</c:f>
              <c:numCache>
                <c:formatCode>General</c:formatCode>
                <c:ptCount val="13"/>
                <c:pt idx="0">
                  <c:v>1</c:v>
                </c:pt>
                <c:pt idx="1">
                  <c:v>3</c:v>
                </c:pt>
                <c:pt idx="2">
                  <c:v>5</c:v>
                </c:pt>
                <c:pt idx="3">
                  <c:v>6</c:v>
                </c:pt>
                <c:pt idx="4">
                  <c:v>5</c:v>
                </c:pt>
                <c:pt idx="5">
                  <c:v>9</c:v>
                </c:pt>
                <c:pt idx="6">
                  <c:v>11</c:v>
                </c:pt>
                <c:pt idx="7">
                  <c:v>3</c:v>
                </c:pt>
                <c:pt idx="8">
                  <c:v>10</c:v>
                </c:pt>
                <c:pt idx="9">
                  <c:v>7</c:v>
                </c:pt>
                <c:pt idx="10">
                  <c:v>3</c:v>
                </c:pt>
                <c:pt idx="11">
                  <c:v>1</c:v>
                </c:pt>
                <c:pt idx="12">
                  <c:v>64</c:v>
                </c:pt>
              </c:numCache>
            </c:numRef>
          </c:val>
          <c:extLst>
            <c:ext xmlns:c16="http://schemas.microsoft.com/office/drawing/2014/chart" uri="{C3380CC4-5D6E-409C-BE32-E72D297353CC}">
              <c16:uniqueId val="{00000005-E00C-4E45-9F72-7508B802BDF0}"/>
            </c:ext>
          </c:extLst>
        </c:ser>
        <c:ser>
          <c:idx val="6"/>
          <c:order val="6"/>
          <c:tx>
            <c:strRef>
              <c:f>Hoja4!$C$13</c:f>
              <c:strCache>
                <c:ptCount val="1"/>
                <c:pt idx="0">
                  <c:v>DP_GENERAL</c:v>
                </c:pt>
              </c:strCache>
            </c:strRef>
          </c:tx>
          <c:spPr>
            <a:solidFill>
              <a:schemeClr val="accent1">
                <a:lumMod val="60000"/>
              </a:schemeClr>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Hoja4!$D$13:$P$13</c:f>
              <c:numCache>
                <c:formatCode>General</c:formatCode>
                <c:ptCount val="13"/>
                <c:pt idx="0">
                  <c:v>6</c:v>
                </c:pt>
                <c:pt idx="1">
                  <c:v>1</c:v>
                </c:pt>
                <c:pt idx="2">
                  <c:v>8</c:v>
                </c:pt>
                <c:pt idx="3">
                  <c:v>4</c:v>
                </c:pt>
                <c:pt idx="4">
                  <c:v>12</c:v>
                </c:pt>
                <c:pt idx="5">
                  <c:v>5</c:v>
                </c:pt>
                <c:pt idx="6">
                  <c:v>3</c:v>
                </c:pt>
                <c:pt idx="7">
                  <c:v>2</c:v>
                </c:pt>
                <c:pt idx="8">
                  <c:v>11</c:v>
                </c:pt>
                <c:pt idx="9">
                  <c:v>5</c:v>
                </c:pt>
                <c:pt idx="10">
                  <c:v>2</c:v>
                </c:pt>
                <c:pt idx="11">
                  <c:v>4</c:v>
                </c:pt>
                <c:pt idx="12">
                  <c:v>63</c:v>
                </c:pt>
              </c:numCache>
            </c:numRef>
          </c:val>
          <c:extLst>
            <c:ext xmlns:c16="http://schemas.microsoft.com/office/drawing/2014/chart" uri="{C3380CC4-5D6E-409C-BE32-E72D297353CC}">
              <c16:uniqueId val="{00000006-E00C-4E45-9F72-7508B802BDF0}"/>
            </c:ext>
          </c:extLst>
        </c:ser>
        <c:ser>
          <c:idx val="7"/>
          <c:order val="7"/>
          <c:tx>
            <c:strRef>
              <c:f>Hoja4!$C$14</c:f>
              <c:strCache>
                <c:ptCount val="1"/>
                <c:pt idx="0">
                  <c:v>DENUNCIAS</c:v>
                </c:pt>
              </c:strCache>
            </c:strRef>
          </c:tx>
          <c:spPr>
            <a:solidFill>
              <a:schemeClr val="accent2">
                <a:lumMod val="60000"/>
              </a:schemeClr>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Hoja4!$D$14:$P$14</c:f>
              <c:numCache>
                <c:formatCode>General</c:formatCode>
                <c:ptCount val="13"/>
                <c:pt idx="0">
                  <c:v>4</c:v>
                </c:pt>
                <c:pt idx="1">
                  <c:v>0</c:v>
                </c:pt>
                <c:pt idx="2">
                  <c:v>0</c:v>
                </c:pt>
                <c:pt idx="3">
                  <c:v>0</c:v>
                </c:pt>
                <c:pt idx="4">
                  <c:v>0</c:v>
                </c:pt>
                <c:pt idx="5">
                  <c:v>0</c:v>
                </c:pt>
                <c:pt idx="6">
                  <c:v>0</c:v>
                </c:pt>
                <c:pt idx="7">
                  <c:v>0</c:v>
                </c:pt>
                <c:pt idx="8">
                  <c:v>7</c:v>
                </c:pt>
                <c:pt idx="9">
                  <c:v>0</c:v>
                </c:pt>
                <c:pt idx="10">
                  <c:v>5</c:v>
                </c:pt>
                <c:pt idx="11">
                  <c:v>3</c:v>
                </c:pt>
                <c:pt idx="12">
                  <c:v>19</c:v>
                </c:pt>
              </c:numCache>
            </c:numRef>
          </c:val>
          <c:extLst>
            <c:ext xmlns:c16="http://schemas.microsoft.com/office/drawing/2014/chart" uri="{C3380CC4-5D6E-409C-BE32-E72D297353CC}">
              <c16:uniqueId val="{00000007-E00C-4E45-9F72-7508B802BDF0}"/>
            </c:ext>
          </c:extLst>
        </c:ser>
        <c:ser>
          <c:idx val="8"/>
          <c:order val="8"/>
          <c:tx>
            <c:strRef>
              <c:f>Hoja4!$C$15</c:f>
              <c:strCache>
                <c:ptCount val="1"/>
                <c:pt idx="0">
                  <c:v>SUGERENCIA</c:v>
                </c:pt>
              </c:strCache>
            </c:strRef>
          </c:tx>
          <c:spPr>
            <a:solidFill>
              <a:schemeClr val="accent3">
                <a:lumMod val="60000"/>
              </a:schemeClr>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Hoja4!$D$15:$P$15</c:f>
              <c:numCache>
                <c:formatCode>General</c:formatCode>
                <c:ptCount val="13"/>
                <c:pt idx="0">
                  <c:v>0</c:v>
                </c:pt>
                <c:pt idx="1">
                  <c:v>0</c:v>
                </c:pt>
                <c:pt idx="2">
                  <c:v>0</c:v>
                </c:pt>
                <c:pt idx="3">
                  <c:v>0</c:v>
                </c:pt>
                <c:pt idx="4">
                  <c:v>0</c:v>
                </c:pt>
                <c:pt idx="5">
                  <c:v>1</c:v>
                </c:pt>
                <c:pt idx="6">
                  <c:v>1</c:v>
                </c:pt>
                <c:pt idx="7">
                  <c:v>0</c:v>
                </c:pt>
                <c:pt idx="8">
                  <c:v>1</c:v>
                </c:pt>
                <c:pt idx="9">
                  <c:v>0</c:v>
                </c:pt>
                <c:pt idx="10">
                  <c:v>0</c:v>
                </c:pt>
                <c:pt idx="11">
                  <c:v>0</c:v>
                </c:pt>
                <c:pt idx="12">
                  <c:v>3</c:v>
                </c:pt>
              </c:numCache>
            </c:numRef>
          </c:val>
          <c:extLst>
            <c:ext xmlns:c16="http://schemas.microsoft.com/office/drawing/2014/chart" uri="{C3380CC4-5D6E-409C-BE32-E72D297353CC}">
              <c16:uniqueId val="{00000008-E00C-4E45-9F72-7508B802BDF0}"/>
            </c:ext>
          </c:extLst>
        </c:ser>
        <c:ser>
          <c:idx val="9"/>
          <c:order val="9"/>
          <c:tx>
            <c:strRef>
              <c:f>Hoja4!$C$16</c:f>
              <c:strCache>
                <c:ptCount val="1"/>
                <c:pt idx="0">
                  <c:v>CONSULTA</c:v>
                </c:pt>
              </c:strCache>
            </c:strRef>
          </c:tx>
          <c:spPr>
            <a:solidFill>
              <a:schemeClr val="accent4">
                <a:lumMod val="60000"/>
              </a:schemeClr>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Hoja4!$D$16:$P$16</c:f>
              <c:numCache>
                <c:formatCode>General</c:formatCode>
                <c:ptCount val="13"/>
                <c:pt idx="0">
                  <c:v>0</c:v>
                </c:pt>
                <c:pt idx="1">
                  <c:v>0</c:v>
                </c:pt>
                <c:pt idx="2">
                  <c:v>0</c:v>
                </c:pt>
                <c:pt idx="3">
                  <c:v>0</c:v>
                </c:pt>
                <c:pt idx="4">
                  <c:v>0</c:v>
                </c:pt>
                <c:pt idx="5">
                  <c:v>1</c:v>
                </c:pt>
                <c:pt idx="6">
                  <c:v>0</c:v>
                </c:pt>
                <c:pt idx="7">
                  <c:v>0</c:v>
                </c:pt>
                <c:pt idx="8">
                  <c:v>1</c:v>
                </c:pt>
                <c:pt idx="9">
                  <c:v>0</c:v>
                </c:pt>
                <c:pt idx="10">
                  <c:v>0</c:v>
                </c:pt>
                <c:pt idx="11">
                  <c:v>1</c:v>
                </c:pt>
                <c:pt idx="12">
                  <c:v>3</c:v>
                </c:pt>
              </c:numCache>
            </c:numRef>
          </c:val>
          <c:extLst>
            <c:ext xmlns:c16="http://schemas.microsoft.com/office/drawing/2014/chart" uri="{C3380CC4-5D6E-409C-BE32-E72D297353CC}">
              <c16:uniqueId val="{00000009-E00C-4E45-9F72-7508B802BDF0}"/>
            </c:ext>
          </c:extLst>
        </c:ser>
        <c:ser>
          <c:idx val="10"/>
          <c:order val="10"/>
          <c:tx>
            <c:strRef>
              <c:f>Hoja4!$C$17</c:f>
              <c:strCache>
                <c:ptCount val="1"/>
                <c:pt idx="0">
                  <c:v>Total </c:v>
                </c:pt>
              </c:strCache>
            </c:strRef>
          </c:tx>
          <c:spPr>
            <a:solidFill>
              <a:schemeClr val="accent5">
                <a:lumMod val="60000"/>
              </a:schemeClr>
            </a:solidFill>
            <a:ln>
              <a:noFill/>
            </a:ln>
            <a:effectLst/>
          </c:spPr>
          <c:invertIfNegative val="0"/>
          <c:cat>
            <c:strRef>
              <c:f>Hoja4!$D$6:$P$6</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Hoja4!$D$17:$P$17</c:f>
              <c:numCache>
                <c:formatCode>General</c:formatCode>
                <c:ptCount val="13"/>
                <c:pt idx="0">
                  <c:v>440</c:v>
                </c:pt>
                <c:pt idx="1">
                  <c:v>534</c:v>
                </c:pt>
                <c:pt idx="2">
                  <c:v>565</c:v>
                </c:pt>
                <c:pt idx="3">
                  <c:v>411</c:v>
                </c:pt>
                <c:pt idx="4">
                  <c:v>572</c:v>
                </c:pt>
                <c:pt idx="5">
                  <c:v>552</c:v>
                </c:pt>
                <c:pt idx="6">
                  <c:v>574</c:v>
                </c:pt>
                <c:pt idx="7">
                  <c:v>505</c:v>
                </c:pt>
                <c:pt idx="8">
                  <c:v>524</c:v>
                </c:pt>
                <c:pt idx="9">
                  <c:v>535</c:v>
                </c:pt>
                <c:pt idx="10">
                  <c:v>440</c:v>
                </c:pt>
                <c:pt idx="11">
                  <c:v>451</c:v>
                </c:pt>
                <c:pt idx="12">
                  <c:v>6103</c:v>
                </c:pt>
              </c:numCache>
            </c:numRef>
          </c:val>
          <c:extLst>
            <c:ext xmlns:c16="http://schemas.microsoft.com/office/drawing/2014/chart" uri="{C3380CC4-5D6E-409C-BE32-E72D297353CC}">
              <c16:uniqueId val="{0000000A-E00C-4E45-9F72-7508B802BDF0}"/>
            </c:ext>
          </c:extLst>
        </c:ser>
        <c:dLbls>
          <c:showLegendKey val="0"/>
          <c:showVal val="0"/>
          <c:showCatName val="0"/>
          <c:showSerName val="0"/>
          <c:showPercent val="0"/>
          <c:showBubbleSize val="0"/>
        </c:dLbls>
        <c:gapWidth val="219"/>
        <c:overlap val="-27"/>
        <c:axId val="1685472992"/>
        <c:axId val="1742357792"/>
      </c:barChart>
      <c:catAx>
        <c:axId val="168547299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1742357792"/>
        <c:crosses val="autoZero"/>
        <c:auto val="1"/>
        <c:lblAlgn val="ctr"/>
        <c:lblOffset val="100"/>
        <c:noMultiLvlLbl val="0"/>
      </c:catAx>
      <c:valAx>
        <c:axId val="1742357792"/>
        <c:scaling>
          <c:orientation val="minMax"/>
        </c:scaling>
        <c:delete val="1"/>
        <c:axPos val="l"/>
        <c:numFmt formatCode="General" sourceLinked="1"/>
        <c:majorTickMark val="none"/>
        <c:minorTickMark val="none"/>
        <c:tickLblPos val="nextTo"/>
        <c:crossAx val="1685472992"/>
        <c:crosses val="autoZero"/>
        <c:crossBetween val="between"/>
      </c:valAx>
      <c:dTable>
        <c:showHorzBorder val="1"/>
        <c:showVertBorder val="1"/>
        <c:showOutline val="1"/>
        <c:showKeys val="1"/>
        <c:spPr>
          <a:noFill/>
          <a:ln w="12700" cap="flat" cmpd="sng" algn="ctr">
            <a:solidFill>
              <a:schemeClr val="accent1"/>
            </a:solidFill>
            <a:round/>
          </a:ln>
          <a:effectLst/>
        </c:spPr>
        <c:txPr>
          <a:bodyPr rot="0" spcFirstLastPara="1" vertOverflow="ellipsis" vert="horz" wrap="square" anchor="ctr" anchorCtr="1"/>
          <a:lstStyle/>
          <a:p>
            <a:pPr rtl="0">
              <a:defRPr sz="900" b="1"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plotVisOnly val="1"/>
    <c:dispBlanksAs val="gap"/>
    <c:showDLblsOverMax val="0"/>
  </c:chart>
  <c:spPr>
    <a:solidFill>
      <a:srgbClr val="EFFBFF"/>
    </a:solidFill>
    <a:ln w="12700" cap="flat" cmpd="sng" algn="ctr">
      <a:solidFill>
        <a:schemeClr val="accent1"/>
      </a:solidFill>
      <a:round/>
    </a:ln>
    <a:effectLst/>
  </c:spPr>
  <c:txPr>
    <a:bodyPr/>
    <a:lstStyle/>
    <a:p>
      <a:pPr>
        <a:defRPr/>
      </a:pPr>
      <a:endParaRPr lang="es-CO"/>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TOTAL REQUERIMIENTOS AÑO 2024</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s-C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ndard"/>
        <c:varyColors val="0"/>
        <c:ser>
          <c:idx val="0"/>
          <c:order val="0"/>
          <c:spPr>
            <a:solidFill>
              <a:schemeClr val="accent4">
                <a:shade val="76000"/>
              </a:schemeClr>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Hoja1!$B$6:$O$6</c:f>
              <c:strCache>
                <c:ptCount val="14"/>
                <c:pt idx="1">
                  <c:v>ENERO</c:v>
                </c:pt>
                <c:pt idx="2">
                  <c:v>    FEBRERO</c:v>
                </c:pt>
                <c:pt idx="3">
                  <c:v>MARZO</c:v>
                </c:pt>
                <c:pt idx="4">
                  <c:v>ABRIL</c:v>
                </c:pt>
                <c:pt idx="5">
                  <c:v>MAYO</c:v>
                </c:pt>
                <c:pt idx="6">
                  <c:v>JUNIO</c:v>
                </c:pt>
                <c:pt idx="7">
                  <c:v>JULIO</c:v>
                </c:pt>
                <c:pt idx="8">
                  <c:v>AGOSTO</c:v>
                </c:pt>
                <c:pt idx="9">
                  <c:v>SEPTIEMBRE</c:v>
                </c:pt>
                <c:pt idx="10">
                  <c:v>OCTUBRE</c:v>
                </c:pt>
                <c:pt idx="11">
                  <c:v>NOVIEMBRE</c:v>
                </c:pt>
                <c:pt idx="12">
                  <c:v>DICIEMBRE</c:v>
                </c:pt>
                <c:pt idx="13">
                  <c:v>TOTAL</c:v>
                </c:pt>
              </c:strCache>
            </c:strRef>
          </c:cat>
          <c:val>
            <c:numRef>
              <c:f>Hoja1!$B$7:$O$7</c:f>
              <c:numCache>
                <c:formatCode>General</c:formatCode>
                <c:ptCount val="14"/>
              </c:numCache>
            </c:numRef>
          </c:val>
          <c:extLst>
            <c:ext xmlns:c16="http://schemas.microsoft.com/office/drawing/2014/chart" uri="{C3380CC4-5D6E-409C-BE32-E72D297353CC}">
              <c16:uniqueId val="{00000000-D917-4697-83E2-542711334F8A}"/>
            </c:ext>
          </c:extLst>
        </c:ser>
        <c:ser>
          <c:idx val="1"/>
          <c:order val="1"/>
          <c:spPr>
            <a:solidFill>
              <a:schemeClr val="tx2">
                <a:lumMod val="50000"/>
                <a:lumOff val="50000"/>
              </a:schemeClr>
            </a:solidFill>
            <a:ln>
              <a:noFill/>
            </a:ln>
            <a:effectLst/>
            <a:sp3d/>
          </c:spPr>
          <c:invertIfNegative val="0"/>
          <c:dPt>
            <c:idx val="1"/>
            <c:invertIfNegative val="0"/>
            <c:bubble3D val="0"/>
            <c:spPr>
              <a:solidFill>
                <a:schemeClr val="accent4">
                  <a:lumMod val="60000"/>
                  <a:lumOff val="40000"/>
                </a:schemeClr>
              </a:solidFill>
              <a:ln>
                <a:noFill/>
              </a:ln>
              <a:effectLst/>
              <a:sp3d/>
            </c:spPr>
            <c:extLst>
              <c:ext xmlns:c16="http://schemas.microsoft.com/office/drawing/2014/chart" uri="{C3380CC4-5D6E-409C-BE32-E72D297353CC}">
                <c16:uniqueId val="{00000002-D917-4697-83E2-542711334F8A}"/>
              </c:ext>
            </c:extLst>
          </c:dPt>
          <c:dPt>
            <c:idx val="2"/>
            <c:invertIfNegative val="0"/>
            <c:bubble3D val="0"/>
            <c:spPr>
              <a:solidFill>
                <a:schemeClr val="accent1">
                  <a:lumMod val="60000"/>
                  <a:lumOff val="40000"/>
                </a:schemeClr>
              </a:solidFill>
              <a:ln>
                <a:noFill/>
              </a:ln>
              <a:effectLst/>
              <a:sp3d/>
            </c:spPr>
            <c:extLst>
              <c:ext xmlns:c16="http://schemas.microsoft.com/office/drawing/2014/chart" uri="{C3380CC4-5D6E-409C-BE32-E72D297353CC}">
                <c16:uniqueId val="{00000004-D917-4697-83E2-542711334F8A}"/>
              </c:ext>
            </c:extLst>
          </c:dPt>
          <c:dPt>
            <c:idx val="3"/>
            <c:invertIfNegative val="0"/>
            <c:bubble3D val="0"/>
            <c:spPr>
              <a:solidFill>
                <a:schemeClr val="accent1">
                  <a:lumMod val="60000"/>
                  <a:lumOff val="40000"/>
                </a:schemeClr>
              </a:solidFill>
              <a:ln>
                <a:noFill/>
              </a:ln>
              <a:effectLst/>
              <a:sp3d/>
            </c:spPr>
            <c:extLst>
              <c:ext xmlns:c16="http://schemas.microsoft.com/office/drawing/2014/chart" uri="{C3380CC4-5D6E-409C-BE32-E72D297353CC}">
                <c16:uniqueId val="{00000006-D917-4697-83E2-542711334F8A}"/>
              </c:ext>
            </c:extLst>
          </c:dPt>
          <c:dPt>
            <c:idx val="4"/>
            <c:invertIfNegative val="0"/>
            <c:bubble3D val="0"/>
            <c:spPr>
              <a:solidFill>
                <a:srgbClr val="00B0F0"/>
              </a:solidFill>
              <a:ln>
                <a:noFill/>
              </a:ln>
              <a:effectLst/>
              <a:sp3d/>
            </c:spPr>
            <c:extLst>
              <c:ext xmlns:c16="http://schemas.microsoft.com/office/drawing/2014/chart" uri="{C3380CC4-5D6E-409C-BE32-E72D297353CC}">
                <c16:uniqueId val="{00000008-D917-4697-83E2-542711334F8A}"/>
              </c:ext>
            </c:extLst>
          </c:dPt>
          <c:dPt>
            <c:idx val="5"/>
            <c:invertIfNegative val="0"/>
            <c:bubble3D val="0"/>
            <c:spPr>
              <a:solidFill>
                <a:schemeClr val="accent4">
                  <a:lumMod val="75000"/>
                </a:schemeClr>
              </a:solidFill>
              <a:ln>
                <a:noFill/>
              </a:ln>
              <a:effectLst/>
              <a:sp3d/>
            </c:spPr>
            <c:extLst>
              <c:ext xmlns:c16="http://schemas.microsoft.com/office/drawing/2014/chart" uri="{C3380CC4-5D6E-409C-BE32-E72D297353CC}">
                <c16:uniqueId val="{0000000A-D917-4697-83E2-542711334F8A}"/>
              </c:ext>
            </c:extLst>
          </c:dPt>
          <c:dPt>
            <c:idx val="6"/>
            <c:invertIfNegative val="0"/>
            <c:bubble3D val="0"/>
            <c:spPr>
              <a:solidFill>
                <a:schemeClr val="accent4">
                  <a:lumMod val="60000"/>
                  <a:lumOff val="40000"/>
                </a:schemeClr>
              </a:solidFill>
              <a:ln>
                <a:noFill/>
              </a:ln>
              <a:effectLst/>
              <a:sp3d/>
            </c:spPr>
            <c:extLst>
              <c:ext xmlns:c16="http://schemas.microsoft.com/office/drawing/2014/chart" uri="{C3380CC4-5D6E-409C-BE32-E72D297353CC}">
                <c16:uniqueId val="{0000000C-D917-4697-83E2-542711334F8A}"/>
              </c:ext>
            </c:extLst>
          </c:dPt>
          <c:dPt>
            <c:idx val="7"/>
            <c:invertIfNegative val="0"/>
            <c:bubble3D val="0"/>
            <c:spPr>
              <a:solidFill>
                <a:srgbClr val="00B0F0"/>
              </a:solidFill>
              <a:ln>
                <a:noFill/>
              </a:ln>
              <a:effectLst/>
              <a:sp3d/>
            </c:spPr>
            <c:extLst>
              <c:ext xmlns:c16="http://schemas.microsoft.com/office/drawing/2014/chart" uri="{C3380CC4-5D6E-409C-BE32-E72D297353CC}">
                <c16:uniqueId val="{0000000E-D917-4697-83E2-542711334F8A}"/>
              </c:ext>
            </c:extLst>
          </c:dPt>
          <c:dPt>
            <c:idx val="8"/>
            <c:invertIfNegative val="0"/>
            <c:bubble3D val="0"/>
            <c:spPr>
              <a:solidFill>
                <a:schemeClr val="tx2">
                  <a:lumMod val="25000"/>
                  <a:lumOff val="75000"/>
                </a:schemeClr>
              </a:solidFill>
              <a:ln>
                <a:noFill/>
              </a:ln>
              <a:effectLst/>
              <a:sp3d/>
            </c:spPr>
            <c:extLst>
              <c:ext xmlns:c16="http://schemas.microsoft.com/office/drawing/2014/chart" uri="{C3380CC4-5D6E-409C-BE32-E72D297353CC}">
                <c16:uniqueId val="{00000010-D917-4697-83E2-542711334F8A}"/>
              </c:ext>
            </c:extLst>
          </c:dPt>
          <c:dPt>
            <c:idx val="9"/>
            <c:invertIfNegative val="0"/>
            <c:bubble3D val="0"/>
            <c:spPr>
              <a:solidFill>
                <a:srgbClr val="0070C0"/>
              </a:solidFill>
              <a:ln>
                <a:noFill/>
              </a:ln>
              <a:effectLst/>
              <a:sp3d/>
            </c:spPr>
            <c:extLst>
              <c:ext xmlns:c16="http://schemas.microsoft.com/office/drawing/2014/chart" uri="{C3380CC4-5D6E-409C-BE32-E72D297353CC}">
                <c16:uniqueId val="{00000012-D917-4697-83E2-542711334F8A}"/>
              </c:ext>
            </c:extLst>
          </c:dPt>
          <c:dPt>
            <c:idx val="10"/>
            <c:invertIfNegative val="0"/>
            <c:bubble3D val="0"/>
            <c:spPr>
              <a:solidFill>
                <a:schemeClr val="tx2">
                  <a:lumMod val="25000"/>
                  <a:lumOff val="75000"/>
                </a:schemeClr>
              </a:solidFill>
              <a:ln>
                <a:noFill/>
              </a:ln>
              <a:effectLst/>
              <a:sp3d/>
            </c:spPr>
            <c:extLst>
              <c:ext xmlns:c16="http://schemas.microsoft.com/office/drawing/2014/chart" uri="{C3380CC4-5D6E-409C-BE32-E72D297353CC}">
                <c16:uniqueId val="{00000014-D917-4697-83E2-542711334F8A}"/>
              </c:ext>
            </c:extLst>
          </c:dPt>
          <c:dPt>
            <c:idx val="11"/>
            <c:invertIfNegative val="0"/>
            <c:bubble3D val="0"/>
            <c:spPr>
              <a:solidFill>
                <a:schemeClr val="accent1">
                  <a:lumMod val="75000"/>
                </a:schemeClr>
              </a:solidFill>
              <a:ln>
                <a:noFill/>
              </a:ln>
              <a:effectLst/>
              <a:sp3d/>
            </c:spPr>
            <c:extLst>
              <c:ext xmlns:c16="http://schemas.microsoft.com/office/drawing/2014/chart" uri="{C3380CC4-5D6E-409C-BE32-E72D297353CC}">
                <c16:uniqueId val="{00000016-D917-4697-83E2-542711334F8A}"/>
              </c:ext>
            </c:extLst>
          </c:dPt>
          <c:dPt>
            <c:idx val="12"/>
            <c:invertIfNegative val="0"/>
            <c:bubble3D val="0"/>
            <c:spPr>
              <a:solidFill>
                <a:schemeClr val="accent4">
                  <a:lumMod val="40000"/>
                  <a:lumOff val="60000"/>
                </a:schemeClr>
              </a:solidFill>
              <a:ln>
                <a:noFill/>
              </a:ln>
              <a:effectLst/>
              <a:sp3d/>
            </c:spPr>
            <c:extLst>
              <c:ext xmlns:c16="http://schemas.microsoft.com/office/drawing/2014/chart" uri="{C3380CC4-5D6E-409C-BE32-E72D297353CC}">
                <c16:uniqueId val="{00000018-D917-4697-83E2-542711334F8A}"/>
              </c:ext>
            </c:extLst>
          </c:dPt>
          <c:dPt>
            <c:idx val="13"/>
            <c:invertIfNegative val="0"/>
            <c:bubble3D val="0"/>
            <c:spPr>
              <a:solidFill>
                <a:schemeClr val="tx2">
                  <a:lumMod val="90000"/>
                  <a:lumOff val="10000"/>
                </a:schemeClr>
              </a:solidFill>
              <a:ln>
                <a:noFill/>
              </a:ln>
              <a:effectLst/>
              <a:sp3d/>
            </c:spPr>
            <c:extLst>
              <c:ext xmlns:c16="http://schemas.microsoft.com/office/drawing/2014/chart" uri="{C3380CC4-5D6E-409C-BE32-E72D297353CC}">
                <c16:uniqueId val="{0000001A-D917-4697-83E2-542711334F8A}"/>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Hoja1!$B$6:$O$6</c:f>
              <c:strCache>
                <c:ptCount val="14"/>
                <c:pt idx="1">
                  <c:v>ENERO</c:v>
                </c:pt>
                <c:pt idx="2">
                  <c:v>    FEBRERO</c:v>
                </c:pt>
                <c:pt idx="3">
                  <c:v>MARZO</c:v>
                </c:pt>
                <c:pt idx="4">
                  <c:v>ABRIL</c:v>
                </c:pt>
                <c:pt idx="5">
                  <c:v>MAYO</c:v>
                </c:pt>
                <c:pt idx="6">
                  <c:v>JUNIO</c:v>
                </c:pt>
                <c:pt idx="7">
                  <c:v>JULIO</c:v>
                </c:pt>
                <c:pt idx="8">
                  <c:v>AGOSTO</c:v>
                </c:pt>
                <c:pt idx="9">
                  <c:v>SEPTIEMBRE</c:v>
                </c:pt>
                <c:pt idx="10">
                  <c:v>OCTUBRE</c:v>
                </c:pt>
                <c:pt idx="11">
                  <c:v>NOVIEMBRE</c:v>
                </c:pt>
                <c:pt idx="12">
                  <c:v>DICIEMBRE</c:v>
                </c:pt>
                <c:pt idx="13">
                  <c:v>TOTAL</c:v>
                </c:pt>
              </c:strCache>
            </c:strRef>
          </c:cat>
          <c:val>
            <c:numRef>
              <c:f>Hoja1!$B$8:$O$8</c:f>
              <c:numCache>
                <c:formatCode>General</c:formatCode>
                <c:ptCount val="14"/>
                <c:pt idx="1">
                  <c:v>461</c:v>
                </c:pt>
                <c:pt idx="2">
                  <c:v>520</c:v>
                </c:pt>
                <c:pt idx="3">
                  <c:v>534</c:v>
                </c:pt>
                <c:pt idx="4">
                  <c:v>618</c:v>
                </c:pt>
                <c:pt idx="5">
                  <c:v>506</c:v>
                </c:pt>
                <c:pt idx="6">
                  <c:v>399</c:v>
                </c:pt>
                <c:pt idx="7">
                  <c:v>583</c:v>
                </c:pt>
                <c:pt idx="8">
                  <c:v>516</c:v>
                </c:pt>
                <c:pt idx="9">
                  <c:v>517</c:v>
                </c:pt>
                <c:pt idx="10">
                  <c:v>573</c:v>
                </c:pt>
                <c:pt idx="11">
                  <c:v>443</c:v>
                </c:pt>
                <c:pt idx="12">
                  <c:v>451</c:v>
                </c:pt>
                <c:pt idx="13">
                  <c:v>6121</c:v>
                </c:pt>
              </c:numCache>
            </c:numRef>
          </c:val>
          <c:extLst>
            <c:ext xmlns:c16="http://schemas.microsoft.com/office/drawing/2014/chart" uri="{C3380CC4-5D6E-409C-BE32-E72D297353CC}">
              <c16:uniqueId val="{0000001B-D917-4697-83E2-542711334F8A}"/>
            </c:ext>
          </c:extLst>
        </c:ser>
        <c:dLbls>
          <c:showLegendKey val="0"/>
          <c:showVal val="1"/>
          <c:showCatName val="0"/>
          <c:showSerName val="0"/>
          <c:showPercent val="0"/>
          <c:showBubbleSize val="0"/>
        </c:dLbls>
        <c:gapWidth val="150"/>
        <c:shape val="box"/>
        <c:axId val="830229119"/>
        <c:axId val="830221919"/>
        <c:axId val="917655759"/>
      </c:bar3DChart>
      <c:catAx>
        <c:axId val="830229119"/>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s-CO"/>
          </a:p>
        </c:txPr>
        <c:crossAx val="830221919"/>
        <c:crosses val="autoZero"/>
        <c:auto val="1"/>
        <c:lblAlgn val="ctr"/>
        <c:lblOffset val="100"/>
        <c:noMultiLvlLbl val="0"/>
      </c:catAx>
      <c:valAx>
        <c:axId val="830221919"/>
        <c:scaling>
          <c:orientation val="minMax"/>
        </c:scaling>
        <c:delete val="1"/>
        <c:axPos val="l"/>
        <c:numFmt formatCode="General" sourceLinked="1"/>
        <c:majorTickMark val="none"/>
        <c:minorTickMark val="none"/>
        <c:tickLblPos val="nextTo"/>
        <c:crossAx val="830229119"/>
        <c:crosses val="autoZero"/>
        <c:crossBetween val="between"/>
      </c:valAx>
      <c:serAx>
        <c:axId val="917655759"/>
        <c:scaling>
          <c:orientation val="minMax"/>
        </c:scaling>
        <c:delete val="1"/>
        <c:axPos val="b"/>
        <c:majorTickMark val="none"/>
        <c:minorTickMark val="none"/>
        <c:tickLblPos val="nextTo"/>
        <c:crossAx val="830221919"/>
        <c:crosses val="autoZero"/>
      </c:serAx>
      <c:spPr>
        <a:noFill/>
        <a:ln>
          <a:noFill/>
        </a:ln>
        <a:effectLst/>
      </c:spPr>
    </c:plotArea>
    <c:plotVisOnly val="1"/>
    <c:dispBlanksAs val="gap"/>
    <c:showDLblsOverMax val="0"/>
  </c:chart>
  <c:spPr>
    <a:solidFill>
      <a:schemeClr val="tx2">
        <a:lumMod val="10000"/>
        <a:lumOff val="90000"/>
      </a:schemeClr>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1">
                <a:solidFill>
                  <a:sysClr val="windowText" lastClr="000000"/>
                </a:solidFill>
              </a:rPr>
              <a:t>TIPOLOGIAS AÑO  2024</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col"/>
        <c:grouping val="clustered"/>
        <c:varyColors val="0"/>
        <c:ser>
          <c:idx val="1"/>
          <c:order val="1"/>
          <c:tx>
            <c:strRef>
              <c:f>Hoja4!$C$6</c:f>
              <c:strCache>
                <c:ptCount val="1"/>
                <c:pt idx="0">
                  <c:v>RECLAMOS</c:v>
                </c:pt>
              </c:strCache>
            </c:strRef>
          </c:tx>
          <c:spPr>
            <a:solidFill>
              <a:schemeClr val="accent2"/>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Hoja4!$D$6:$P$6</c:f>
              <c:numCache>
                <c:formatCode>General</c:formatCode>
                <c:ptCount val="13"/>
                <c:pt idx="0">
                  <c:v>179</c:v>
                </c:pt>
                <c:pt idx="1">
                  <c:v>220</c:v>
                </c:pt>
                <c:pt idx="2">
                  <c:v>207</c:v>
                </c:pt>
                <c:pt idx="3">
                  <c:v>214</c:v>
                </c:pt>
                <c:pt idx="4">
                  <c:v>200</c:v>
                </c:pt>
                <c:pt idx="5">
                  <c:v>178</c:v>
                </c:pt>
                <c:pt idx="6">
                  <c:v>215</c:v>
                </c:pt>
                <c:pt idx="7">
                  <c:v>204</c:v>
                </c:pt>
                <c:pt idx="8">
                  <c:v>169</c:v>
                </c:pt>
                <c:pt idx="9">
                  <c:v>222</c:v>
                </c:pt>
                <c:pt idx="10">
                  <c:v>167</c:v>
                </c:pt>
                <c:pt idx="11">
                  <c:v>146</c:v>
                </c:pt>
                <c:pt idx="12">
                  <c:v>2321</c:v>
                </c:pt>
              </c:numCache>
            </c:numRef>
          </c:val>
          <c:extLst>
            <c:ext xmlns:c16="http://schemas.microsoft.com/office/drawing/2014/chart" uri="{C3380CC4-5D6E-409C-BE32-E72D297353CC}">
              <c16:uniqueId val="{00000000-F1DB-4BF9-AB4B-63988205A709}"/>
            </c:ext>
          </c:extLst>
        </c:ser>
        <c:ser>
          <c:idx val="2"/>
          <c:order val="2"/>
          <c:tx>
            <c:strRef>
              <c:f>Hoja4!$C$7</c:f>
              <c:strCache>
                <c:ptCount val="1"/>
                <c:pt idx="0">
                  <c:v>D.P PARTICULAR</c:v>
                </c:pt>
              </c:strCache>
            </c:strRef>
          </c:tx>
          <c:spPr>
            <a:solidFill>
              <a:schemeClr val="accent3"/>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Hoja4!$D$7:$P$7</c:f>
              <c:numCache>
                <c:formatCode>General</c:formatCode>
                <c:ptCount val="13"/>
                <c:pt idx="0">
                  <c:v>144</c:v>
                </c:pt>
                <c:pt idx="1">
                  <c:v>169</c:v>
                </c:pt>
                <c:pt idx="2">
                  <c:v>182</c:v>
                </c:pt>
                <c:pt idx="3">
                  <c:v>203</c:v>
                </c:pt>
                <c:pt idx="4">
                  <c:v>169</c:v>
                </c:pt>
                <c:pt idx="5">
                  <c:v>122</c:v>
                </c:pt>
                <c:pt idx="6">
                  <c:v>195</c:v>
                </c:pt>
                <c:pt idx="7">
                  <c:v>161</c:v>
                </c:pt>
                <c:pt idx="8">
                  <c:v>191</c:v>
                </c:pt>
                <c:pt idx="9">
                  <c:v>188</c:v>
                </c:pt>
                <c:pt idx="10">
                  <c:v>142</c:v>
                </c:pt>
                <c:pt idx="11">
                  <c:v>155</c:v>
                </c:pt>
                <c:pt idx="12">
                  <c:v>2021</c:v>
                </c:pt>
              </c:numCache>
            </c:numRef>
          </c:val>
          <c:extLst>
            <c:ext xmlns:c16="http://schemas.microsoft.com/office/drawing/2014/chart" uri="{C3380CC4-5D6E-409C-BE32-E72D297353CC}">
              <c16:uniqueId val="{00000001-F1DB-4BF9-AB4B-63988205A709}"/>
            </c:ext>
          </c:extLst>
        </c:ser>
        <c:ser>
          <c:idx val="3"/>
          <c:order val="3"/>
          <c:tx>
            <c:strRef>
              <c:f>Hoja4!$C$8</c:f>
              <c:strCache>
                <c:ptCount val="1"/>
                <c:pt idx="0">
                  <c:v>QUEJAS </c:v>
                </c:pt>
              </c:strCache>
            </c:strRef>
          </c:tx>
          <c:spPr>
            <a:solidFill>
              <a:schemeClr val="accent4"/>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Hoja4!$D$8:$P$8</c:f>
              <c:numCache>
                <c:formatCode>General</c:formatCode>
                <c:ptCount val="13"/>
                <c:pt idx="0">
                  <c:v>57</c:v>
                </c:pt>
                <c:pt idx="1">
                  <c:v>62</c:v>
                </c:pt>
                <c:pt idx="2">
                  <c:v>56</c:v>
                </c:pt>
                <c:pt idx="3">
                  <c:v>98</c:v>
                </c:pt>
                <c:pt idx="4">
                  <c:v>56</c:v>
                </c:pt>
                <c:pt idx="5">
                  <c:v>55</c:v>
                </c:pt>
                <c:pt idx="6">
                  <c:v>101</c:v>
                </c:pt>
                <c:pt idx="7">
                  <c:v>77</c:v>
                </c:pt>
                <c:pt idx="8">
                  <c:v>93</c:v>
                </c:pt>
                <c:pt idx="9">
                  <c:v>65</c:v>
                </c:pt>
                <c:pt idx="10">
                  <c:v>52</c:v>
                </c:pt>
                <c:pt idx="11">
                  <c:v>91</c:v>
                </c:pt>
                <c:pt idx="12">
                  <c:v>863</c:v>
                </c:pt>
              </c:numCache>
            </c:numRef>
          </c:val>
          <c:extLst>
            <c:ext xmlns:c16="http://schemas.microsoft.com/office/drawing/2014/chart" uri="{C3380CC4-5D6E-409C-BE32-E72D297353CC}">
              <c16:uniqueId val="{00000002-F1DB-4BF9-AB4B-63988205A709}"/>
            </c:ext>
          </c:extLst>
        </c:ser>
        <c:ser>
          <c:idx val="4"/>
          <c:order val="4"/>
          <c:tx>
            <c:strRef>
              <c:f>Hoja4!$C$9</c:f>
              <c:strCache>
                <c:ptCount val="1"/>
                <c:pt idx="0">
                  <c:v>FELICITACIONES</c:v>
                </c:pt>
              </c:strCache>
            </c:strRef>
          </c:tx>
          <c:spPr>
            <a:solidFill>
              <a:schemeClr val="accent5"/>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Hoja4!$D$9:$P$9</c:f>
              <c:numCache>
                <c:formatCode>General</c:formatCode>
                <c:ptCount val="13"/>
                <c:pt idx="0">
                  <c:v>56</c:v>
                </c:pt>
                <c:pt idx="1">
                  <c:v>50</c:v>
                </c:pt>
                <c:pt idx="2">
                  <c:v>74</c:v>
                </c:pt>
                <c:pt idx="3">
                  <c:v>85</c:v>
                </c:pt>
                <c:pt idx="4">
                  <c:v>66</c:v>
                </c:pt>
                <c:pt idx="5">
                  <c:v>32</c:v>
                </c:pt>
                <c:pt idx="6">
                  <c:v>48</c:v>
                </c:pt>
                <c:pt idx="7">
                  <c:v>47</c:v>
                </c:pt>
                <c:pt idx="8">
                  <c:v>50</c:v>
                </c:pt>
                <c:pt idx="9">
                  <c:v>69</c:v>
                </c:pt>
                <c:pt idx="10">
                  <c:v>69</c:v>
                </c:pt>
                <c:pt idx="11">
                  <c:v>47</c:v>
                </c:pt>
                <c:pt idx="12">
                  <c:v>693</c:v>
                </c:pt>
              </c:numCache>
            </c:numRef>
          </c:val>
          <c:extLst>
            <c:ext xmlns:c16="http://schemas.microsoft.com/office/drawing/2014/chart" uri="{C3380CC4-5D6E-409C-BE32-E72D297353CC}">
              <c16:uniqueId val="{00000003-F1DB-4BF9-AB4B-63988205A709}"/>
            </c:ext>
          </c:extLst>
        </c:ser>
        <c:ser>
          <c:idx val="5"/>
          <c:order val="5"/>
          <c:tx>
            <c:strRef>
              <c:f>Hoja4!$C$10</c:f>
              <c:strCache>
                <c:ptCount val="1"/>
                <c:pt idx="0">
                  <c:v>SOL. INFORMACIÓN</c:v>
                </c:pt>
              </c:strCache>
            </c:strRef>
          </c:tx>
          <c:spPr>
            <a:solidFill>
              <a:schemeClr val="accent6"/>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Hoja4!$D$10:$P$10</c:f>
              <c:numCache>
                <c:formatCode>General</c:formatCode>
                <c:ptCount val="13"/>
                <c:pt idx="0">
                  <c:v>6</c:v>
                </c:pt>
                <c:pt idx="1">
                  <c:v>5</c:v>
                </c:pt>
                <c:pt idx="2">
                  <c:v>6</c:v>
                </c:pt>
                <c:pt idx="3">
                  <c:v>4</c:v>
                </c:pt>
                <c:pt idx="4">
                  <c:v>2</c:v>
                </c:pt>
                <c:pt idx="5">
                  <c:v>3</c:v>
                </c:pt>
                <c:pt idx="6">
                  <c:v>8</c:v>
                </c:pt>
                <c:pt idx="7">
                  <c:v>13</c:v>
                </c:pt>
                <c:pt idx="8">
                  <c:v>5</c:v>
                </c:pt>
                <c:pt idx="9">
                  <c:v>16</c:v>
                </c:pt>
                <c:pt idx="10">
                  <c:v>4</c:v>
                </c:pt>
                <c:pt idx="11">
                  <c:v>2</c:v>
                </c:pt>
                <c:pt idx="12">
                  <c:v>74</c:v>
                </c:pt>
              </c:numCache>
            </c:numRef>
          </c:val>
          <c:extLst>
            <c:ext xmlns:c16="http://schemas.microsoft.com/office/drawing/2014/chart" uri="{C3380CC4-5D6E-409C-BE32-E72D297353CC}">
              <c16:uniqueId val="{00000004-F1DB-4BF9-AB4B-63988205A709}"/>
            </c:ext>
          </c:extLst>
        </c:ser>
        <c:ser>
          <c:idx val="6"/>
          <c:order val="6"/>
          <c:tx>
            <c:strRef>
              <c:f>Hoja4!$C$11</c:f>
              <c:strCache>
                <c:ptCount val="1"/>
                <c:pt idx="0">
                  <c:v>D.P GENERAL</c:v>
                </c:pt>
              </c:strCache>
            </c:strRef>
          </c:tx>
          <c:spPr>
            <a:solidFill>
              <a:schemeClr val="accent1">
                <a:lumMod val="60000"/>
              </a:schemeClr>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Hoja4!$D$11:$P$11</c:f>
              <c:numCache>
                <c:formatCode>General</c:formatCode>
                <c:ptCount val="13"/>
                <c:pt idx="0">
                  <c:v>10</c:v>
                </c:pt>
                <c:pt idx="1">
                  <c:v>7</c:v>
                </c:pt>
                <c:pt idx="2">
                  <c:v>5</c:v>
                </c:pt>
                <c:pt idx="3">
                  <c:v>3</c:v>
                </c:pt>
                <c:pt idx="4">
                  <c:v>7</c:v>
                </c:pt>
                <c:pt idx="5">
                  <c:v>2</c:v>
                </c:pt>
                <c:pt idx="6">
                  <c:v>9</c:v>
                </c:pt>
                <c:pt idx="7">
                  <c:v>5</c:v>
                </c:pt>
                <c:pt idx="8">
                  <c:v>4</c:v>
                </c:pt>
                <c:pt idx="9">
                  <c:v>7</c:v>
                </c:pt>
                <c:pt idx="10">
                  <c:v>4</c:v>
                </c:pt>
                <c:pt idx="11">
                  <c:v>4</c:v>
                </c:pt>
                <c:pt idx="12">
                  <c:v>67</c:v>
                </c:pt>
              </c:numCache>
            </c:numRef>
          </c:val>
          <c:extLst>
            <c:ext xmlns:c16="http://schemas.microsoft.com/office/drawing/2014/chart" uri="{C3380CC4-5D6E-409C-BE32-E72D297353CC}">
              <c16:uniqueId val="{00000005-F1DB-4BF9-AB4B-63988205A709}"/>
            </c:ext>
          </c:extLst>
        </c:ser>
        <c:ser>
          <c:idx val="7"/>
          <c:order val="7"/>
          <c:tx>
            <c:strRef>
              <c:f>Hoja4!$C$12</c:f>
              <c:strCache>
                <c:ptCount val="1"/>
                <c:pt idx="0">
                  <c:v>SOL. COPIA</c:v>
                </c:pt>
              </c:strCache>
            </c:strRef>
          </c:tx>
          <c:spPr>
            <a:solidFill>
              <a:schemeClr val="accent2">
                <a:lumMod val="60000"/>
              </a:schemeClr>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Hoja4!$D$12:$P$12</c:f>
              <c:numCache>
                <c:formatCode>General</c:formatCode>
                <c:ptCount val="13"/>
                <c:pt idx="0">
                  <c:v>6</c:v>
                </c:pt>
                <c:pt idx="1">
                  <c:v>5</c:v>
                </c:pt>
                <c:pt idx="2">
                  <c:v>4</c:v>
                </c:pt>
                <c:pt idx="3">
                  <c:v>8</c:v>
                </c:pt>
                <c:pt idx="4">
                  <c:v>5</c:v>
                </c:pt>
                <c:pt idx="5">
                  <c:v>5</c:v>
                </c:pt>
                <c:pt idx="6">
                  <c:v>5</c:v>
                </c:pt>
                <c:pt idx="7">
                  <c:v>6</c:v>
                </c:pt>
                <c:pt idx="8">
                  <c:v>5</c:v>
                </c:pt>
                <c:pt idx="9">
                  <c:v>5</c:v>
                </c:pt>
                <c:pt idx="10">
                  <c:v>0</c:v>
                </c:pt>
                <c:pt idx="11">
                  <c:v>5</c:v>
                </c:pt>
                <c:pt idx="12">
                  <c:v>59</c:v>
                </c:pt>
              </c:numCache>
            </c:numRef>
          </c:val>
          <c:extLst>
            <c:ext xmlns:c16="http://schemas.microsoft.com/office/drawing/2014/chart" uri="{C3380CC4-5D6E-409C-BE32-E72D297353CC}">
              <c16:uniqueId val="{00000006-F1DB-4BF9-AB4B-63988205A709}"/>
            </c:ext>
          </c:extLst>
        </c:ser>
        <c:ser>
          <c:idx val="8"/>
          <c:order val="8"/>
          <c:tx>
            <c:strRef>
              <c:f>Hoja4!$C$13</c:f>
              <c:strCache>
                <c:ptCount val="1"/>
                <c:pt idx="0">
                  <c:v>SUGERENCIAS</c:v>
                </c:pt>
              </c:strCache>
            </c:strRef>
          </c:tx>
          <c:spPr>
            <a:solidFill>
              <a:schemeClr val="accent3">
                <a:lumMod val="60000"/>
              </a:schemeClr>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Hoja4!$D$13:$P$13</c:f>
              <c:numCache>
                <c:formatCode>General</c:formatCode>
                <c:ptCount val="13"/>
                <c:pt idx="0">
                  <c:v>1</c:v>
                </c:pt>
                <c:pt idx="1">
                  <c:v>2</c:v>
                </c:pt>
                <c:pt idx="2">
                  <c:v>0</c:v>
                </c:pt>
                <c:pt idx="3">
                  <c:v>1</c:v>
                </c:pt>
                <c:pt idx="4">
                  <c:v>0</c:v>
                </c:pt>
                <c:pt idx="5">
                  <c:v>2</c:v>
                </c:pt>
                <c:pt idx="6">
                  <c:v>2</c:v>
                </c:pt>
                <c:pt idx="7">
                  <c:v>2</c:v>
                </c:pt>
                <c:pt idx="9">
                  <c:v>0</c:v>
                </c:pt>
                <c:pt idx="10">
                  <c:v>2</c:v>
                </c:pt>
                <c:pt idx="11">
                  <c:v>0</c:v>
                </c:pt>
                <c:pt idx="12">
                  <c:v>12</c:v>
                </c:pt>
              </c:numCache>
            </c:numRef>
          </c:val>
          <c:extLst>
            <c:ext xmlns:c16="http://schemas.microsoft.com/office/drawing/2014/chart" uri="{C3380CC4-5D6E-409C-BE32-E72D297353CC}">
              <c16:uniqueId val="{00000007-F1DB-4BF9-AB4B-63988205A709}"/>
            </c:ext>
          </c:extLst>
        </c:ser>
        <c:ser>
          <c:idx val="9"/>
          <c:order val="9"/>
          <c:tx>
            <c:strRef>
              <c:f>Hoja4!$C$14</c:f>
              <c:strCache>
                <c:ptCount val="1"/>
                <c:pt idx="0">
                  <c:v>DENUNCIAS </c:v>
                </c:pt>
              </c:strCache>
            </c:strRef>
          </c:tx>
          <c:spPr>
            <a:solidFill>
              <a:schemeClr val="accent4">
                <a:lumMod val="60000"/>
              </a:schemeClr>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Hoja4!$D$14:$P$14</c:f>
              <c:numCache>
                <c:formatCode>General</c:formatCode>
                <c:ptCount val="13"/>
                <c:pt idx="0">
                  <c:v>1</c:v>
                </c:pt>
                <c:pt idx="1">
                  <c:v>0</c:v>
                </c:pt>
                <c:pt idx="2">
                  <c:v>0</c:v>
                </c:pt>
                <c:pt idx="3">
                  <c:v>2</c:v>
                </c:pt>
                <c:pt idx="4">
                  <c:v>1</c:v>
                </c:pt>
                <c:pt idx="5">
                  <c:v>0</c:v>
                </c:pt>
                <c:pt idx="6">
                  <c:v>0</c:v>
                </c:pt>
                <c:pt idx="7">
                  <c:v>1</c:v>
                </c:pt>
                <c:pt idx="8">
                  <c:v>0</c:v>
                </c:pt>
                <c:pt idx="9">
                  <c:v>1</c:v>
                </c:pt>
                <c:pt idx="10">
                  <c:v>2</c:v>
                </c:pt>
                <c:pt idx="11">
                  <c:v>1</c:v>
                </c:pt>
                <c:pt idx="12">
                  <c:v>9</c:v>
                </c:pt>
              </c:numCache>
            </c:numRef>
          </c:val>
          <c:extLst>
            <c:ext xmlns:c16="http://schemas.microsoft.com/office/drawing/2014/chart" uri="{C3380CC4-5D6E-409C-BE32-E72D297353CC}">
              <c16:uniqueId val="{00000008-F1DB-4BF9-AB4B-63988205A709}"/>
            </c:ext>
          </c:extLst>
        </c:ser>
        <c:ser>
          <c:idx val="10"/>
          <c:order val="10"/>
          <c:tx>
            <c:strRef>
              <c:f>Hoja4!$C$15</c:f>
              <c:strCache>
                <c:ptCount val="1"/>
                <c:pt idx="0">
                  <c:v>CONSULTAS</c:v>
                </c:pt>
              </c:strCache>
            </c:strRef>
          </c:tx>
          <c:spPr>
            <a:solidFill>
              <a:schemeClr val="accent5">
                <a:lumMod val="60000"/>
              </a:schemeClr>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Hoja4!$D$15:$P$15</c:f>
              <c:numCache>
                <c:formatCode>General</c:formatCode>
                <c:ptCount val="13"/>
                <c:pt idx="0">
                  <c:v>0</c:v>
                </c:pt>
                <c:pt idx="1">
                  <c:v>0</c:v>
                </c:pt>
                <c:pt idx="2">
                  <c:v>0</c:v>
                </c:pt>
                <c:pt idx="3">
                  <c:v>0</c:v>
                </c:pt>
                <c:pt idx="4">
                  <c:v>0</c:v>
                </c:pt>
                <c:pt idx="5">
                  <c:v>0</c:v>
                </c:pt>
                <c:pt idx="6">
                  <c:v>0</c:v>
                </c:pt>
                <c:pt idx="7">
                  <c:v>0</c:v>
                </c:pt>
                <c:pt idx="8">
                  <c:v>0</c:v>
                </c:pt>
                <c:pt idx="9">
                  <c:v>0</c:v>
                </c:pt>
                <c:pt idx="10">
                  <c:v>1</c:v>
                </c:pt>
                <c:pt idx="11">
                  <c:v>0</c:v>
                </c:pt>
                <c:pt idx="12">
                  <c:v>1</c:v>
                </c:pt>
              </c:numCache>
            </c:numRef>
          </c:val>
          <c:extLst>
            <c:ext xmlns:c16="http://schemas.microsoft.com/office/drawing/2014/chart" uri="{C3380CC4-5D6E-409C-BE32-E72D297353CC}">
              <c16:uniqueId val="{00000009-F1DB-4BF9-AB4B-63988205A709}"/>
            </c:ext>
          </c:extLst>
        </c:ser>
        <c:ser>
          <c:idx val="11"/>
          <c:order val="11"/>
          <c:tx>
            <c:strRef>
              <c:f>Hoja4!$C$16</c:f>
              <c:strCache>
                <c:ptCount val="1"/>
                <c:pt idx="0">
                  <c:v>ANULADO</c:v>
                </c:pt>
              </c:strCache>
            </c:strRef>
          </c:tx>
          <c:spPr>
            <a:solidFill>
              <a:schemeClr val="accent6">
                <a:lumMod val="60000"/>
              </a:schemeClr>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Hoja4!$D$16:$P$16</c:f>
              <c:numCache>
                <c:formatCode>General</c:formatCode>
                <c:ptCount val="13"/>
                <c:pt idx="0">
                  <c:v>1</c:v>
                </c:pt>
                <c:pt idx="1">
                  <c:v>0</c:v>
                </c:pt>
                <c:pt idx="2">
                  <c:v>0</c:v>
                </c:pt>
                <c:pt idx="3">
                  <c:v>0</c:v>
                </c:pt>
                <c:pt idx="4">
                  <c:v>0</c:v>
                </c:pt>
                <c:pt idx="5">
                  <c:v>0</c:v>
                </c:pt>
                <c:pt idx="6">
                  <c:v>0</c:v>
                </c:pt>
                <c:pt idx="7">
                  <c:v>0</c:v>
                </c:pt>
                <c:pt idx="8">
                  <c:v>0</c:v>
                </c:pt>
                <c:pt idx="9">
                  <c:v>0</c:v>
                </c:pt>
                <c:pt idx="10">
                  <c:v>0</c:v>
                </c:pt>
                <c:pt idx="11">
                  <c:v>0</c:v>
                </c:pt>
                <c:pt idx="12">
                  <c:v>1</c:v>
                </c:pt>
              </c:numCache>
            </c:numRef>
          </c:val>
          <c:extLst>
            <c:ext xmlns:c16="http://schemas.microsoft.com/office/drawing/2014/chart" uri="{C3380CC4-5D6E-409C-BE32-E72D297353CC}">
              <c16:uniqueId val="{0000000A-F1DB-4BF9-AB4B-63988205A709}"/>
            </c:ext>
          </c:extLst>
        </c:ser>
        <c:ser>
          <c:idx val="12"/>
          <c:order val="12"/>
          <c:tx>
            <c:strRef>
              <c:f>Hoja4!$C$17</c:f>
              <c:strCache>
                <c:ptCount val="1"/>
                <c:pt idx="0">
                  <c:v>TOTAL</c:v>
                </c:pt>
              </c:strCache>
            </c:strRef>
          </c:tx>
          <c:spPr>
            <a:solidFill>
              <a:schemeClr val="accent1">
                <a:lumMod val="80000"/>
                <a:lumOff val="20000"/>
              </a:schemeClr>
            </a:solidFill>
            <a:ln>
              <a:noFill/>
            </a:ln>
            <a:effectLst/>
          </c:spPr>
          <c:invertIfNegative val="0"/>
          <c:cat>
            <c:strRef>
              <c:f>Hoja4!$D$4:$P$4</c:f>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f>Hoja4!$D$17:$P$17</c:f>
              <c:numCache>
                <c:formatCode>General</c:formatCode>
                <c:ptCount val="13"/>
                <c:pt idx="0">
                  <c:v>461</c:v>
                </c:pt>
                <c:pt idx="1">
                  <c:v>520</c:v>
                </c:pt>
                <c:pt idx="2">
                  <c:v>534</c:v>
                </c:pt>
                <c:pt idx="3">
                  <c:v>618</c:v>
                </c:pt>
                <c:pt idx="4">
                  <c:v>506</c:v>
                </c:pt>
                <c:pt idx="5">
                  <c:v>399</c:v>
                </c:pt>
                <c:pt idx="6">
                  <c:v>583</c:v>
                </c:pt>
                <c:pt idx="7">
                  <c:v>516</c:v>
                </c:pt>
                <c:pt idx="8">
                  <c:v>517</c:v>
                </c:pt>
                <c:pt idx="9">
                  <c:v>573</c:v>
                </c:pt>
                <c:pt idx="10">
                  <c:v>443</c:v>
                </c:pt>
                <c:pt idx="11">
                  <c:v>451</c:v>
                </c:pt>
                <c:pt idx="12">
                  <c:v>6121</c:v>
                </c:pt>
              </c:numCache>
            </c:numRef>
          </c:val>
          <c:extLst>
            <c:ext xmlns:c16="http://schemas.microsoft.com/office/drawing/2014/chart" uri="{C3380CC4-5D6E-409C-BE32-E72D297353CC}">
              <c16:uniqueId val="{0000000B-F1DB-4BF9-AB4B-63988205A709}"/>
            </c:ext>
          </c:extLst>
        </c:ser>
        <c:dLbls>
          <c:showLegendKey val="0"/>
          <c:showVal val="0"/>
          <c:showCatName val="0"/>
          <c:showSerName val="0"/>
          <c:showPercent val="0"/>
          <c:showBubbleSize val="0"/>
        </c:dLbls>
        <c:gapWidth val="219"/>
        <c:overlap val="-27"/>
        <c:axId val="943891247"/>
        <c:axId val="943910927"/>
        <c:extLst>
          <c:ext xmlns:c15="http://schemas.microsoft.com/office/drawing/2012/chart" uri="{02D57815-91ED-43cb-92C2-25804820EDAC}">
            <c15:filteredBarSeries>
              <c15:ser>
                <c:idx val="0"/>
                <c:order val="0"/>
                <c:tx>
                  <c:strRef>
                    <c:extLst>
                      <c:ext uri="{02D57815-91ED-43cb-92C2-25804820EDAC}">
                        <c15:formulaRef>
                          <c15:sqref>Hoja4!$C$5</c15:sqref>
                        </c15:formulaRef>
                      </c:ext>
                    </c:extLst>
                    <c:strCache>
                      <c:ptCount val="1"/>
                    </c:strCache>
                  </c:strRef>
                </c:tx>
                <c:spPr>
                  <a:solidFill>
                    <a:schemeClr val="accent1"/>
                  </a:solidFill>
                  <a:ln>
                    <a:noFill/>
                  </a:ln>
                  <a:effectLst/>
                </c:spPr>
                <c:invertIfNegative val="0"/>
                <c:cat>
                  <c:strRef>
                    <c:extLst>
                      <c:ext uri="{02D57815-91ED-43cb-92C2-25804820EDAC}">
                        <c15:formulaRef>
                          <c15:sqref>Hoja4!$D$4:$P$4</c15:sqref>
                        </c15:formulaRef>
                      </c:ext>
                    </c:extLst>
                    <c:strCache>
                      <c:ptCount val="13"/>
                      <c:pt idx="0">
                        <c:v>ENE.</c:v>
                      </c:pt>
                      <c:pt idx="1">
                        <c:v>    FEB.</c:v>
                      </c:pt>
                      <c:pt idx="2">
                        <c:v>MAR.</c:v>
                      </c:pt>
                      <c:pt idx="3">
                        <c:v>ABR.</c:v>
                      </c:pt>
                      <c:pt idx="4">
                        <c:v>MAY.</c:v>
                      </c:pt>
                      <c:pt idx="5">
                        <c:v>JUN.</c:v>
                      </c:pt>
                      <c:pt idx="6">
                        <c:v>JUL.</c:v>
                      </c:pt>
                      <c:pt idx="7">
                        <c:v>AGOS.</c:v>
                      </c:pt>
                      <c:pt idx="8">
                        <c:v>SEPT.</c:v>
                      </c:pt>
                      <c:pt idx="9">
                        <c:v>OCT.</c:v>
                      </c:pt>
                      <c:pt idx="10">
                        <c:v>NOV.</c:v>
                      </c:pt>
                      <c:pt idx="11">
                        <c:v>DIC.</c:v>
                      </c:pt>
                      <c:pt idx="12">
                        <c:v>TOTAL</c:v>
                      </c:pt>
                    </c:strCache>
                  </c:strRef>
                </c:cat>
                <c:val>
                  <c:numRef>
                    <c:extLst>
                      <c:ext uri="{02D57815-91ED-43cb-92C2-25804820EDAC}">
                        <c15:formulaRef>
                          <c15:sqref>Hoja4!$D$5:$P$5</c15:sqref>
                        </c15:formulaRef>
                      </c:ext>
                    </c:extLst>
                    <c:numCache>
                      <c:formatCode>General</c:formatCode>
                      <c:ptCount val="13"/>
                    </c:numCache>
                  </c:numRef>
                </c:val>
                <c:extLst>
                  <c:ext xmlns:c16="http://schemas.microsoft.com/office/drawing/2014/chart" uri="{C3380CC4-5D6E-409C-BE32-E72D297353CC}">
                    <c16:uniqueId val="{0000000C-F1DB-4BF9-AB4B-63988205A709}"/>
                  </c:ext>
                </c:extLst>
              </c15:ser>
            </c15:filteredBarSeries>
          </c:ext>
        </c:extLst>
      </c:barChart>
      <c:catAx>
        <c:axId val="943891247"/>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943910927"/>
        <c:crosses val="autoZero"/>
        <c:auto val="1"/>
        <c:lblAlgn val="ctr"/>
        <c:lblOffset val="100"/>
        <c:noMultiLvlLbl val="0"/>
      </c:catAx>
      <c:valAx>
        <c:axId val="943910927"/>
        <c:scaling>
          <c:orientation val="minMax"/>
        </c:scaling>
        <c:delete val="1"/>
        <c:axPos val="l"/>
        <c:numFmt formatCode="General" sourceLinked="1"/>
        <c:majorTickMark val="none"/>
        <c:minorTickMark val="none"/>
        <c:tickLblPos val="nextTo"/>
        <c:crossAx val="943891247"/>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plotVisOnly val="1"/>
    <c:dispBlanksAs val="gap"/>
    <c:showDLblsOverMax val="0"/>
  </c:chart>
  <c:spPr>
    <a:solidFill>
      <a:schemeClr val="tx2">
        <a:lumMod val="10000"/>
        <a:lumOff val="90000"/>
      </a:schemeClr>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TOTAL REQUERIMIENTOS I TRIMESTRE 2025</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s-CO"/>
        </a:p>
      </c:txPr>
    </c:title>
    <c:autoTitleDeleted val="0"/>
    <c:plotArea>
      <c:layout/>
      <c:barChart>
        <c:barDir val="bar"/>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Hoja1!$F$10:$I$10</c:f>
              <c:strCache>
                <c:ptCount val="4"/>
                <c:pt idx="0">
                  <c:v>ENERO</c:v>
                </c:pt>
                <c:pt idx="1">
                  <c:v>FEBRERO</c:v>
                </c:pt>
                <c:pt idx="2">
                  <c:v>MARZO</c:v>
                </c:pt>
                <c:pt idx="3">
                  <c:v>TOTAL</c:v>
                </c:pt>
              </c:strCache>
            </c:strRef>
          </c:cat>
          <c:val>
            <c:numRef>
              <c:f>Hoja1!$F$11:$I$11</c:f>
              <c:numCache>
                <c:formatCode>General</c:formatCode>
                <c:ptCount val="4"/>
                <c:pt idx="0">
                  <c:v>404</c:v>
                </c:pt>
                <c:pt idx="1">
                  <c:v>577</c:v>
                </c:pt>
                <c:pt idx="2">
                  <c:v>586</c:v>
                </c:pt>
                <c:pt idx="3" formatCode="#,##0">
                  <c:v>1567</c:v>
                </c:pt>
              </c:numCache>
            </c:numRef>
          </c:val>
          <c:extLst>
            <c:ext xmlns:c16="http://schemas.microsoft.com/office/drawing/2014/chart" uri="{C3380CC4-5D6E-409C-BE32-E72D297353CC}">
              <c16:uniqueId val="{00000000-3511-4765-9FC6-DD2A5F83972E}"/>
            </c:ext>
          </c:extLst>
        </c:ser>
        <c:dLbls>
          <c:showLegendKey val="0"/>
          <c:showVal val="0"/>
          <c:showCatName val="0"/>
          <c:showSerName val="0"/>
          <c:showPercent val="0"/>
          <c:showBubbleSize val="0"/>
        </c:dLbls>
        <c:gapWidth val="182"/>
        <c:axId val="907072687"/>
        <c:axId val="908239631"/>
      </c:barChart>
      <c:catAx>
        <c:axId val="90707268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908239631"/>
        <c:crosses val="autoZero"/>
        <c:auto val="1"/>
        <c:lblAlgn val="ctr"/>
        <c:lblOffset val="100"/>
        <c:noMultiLvlLbl val="0"/>
      </c:catAx>
      <c:valAx>
        <c:axId val="908239631"/>
        <c:scaling>
          <c:orientation val="minMax"/>
        </c:scaling>
        <c:delete val="1"/>
        <c:axPos val="b"/>
        <c:numFmt formatCode="General" sourceLinked="1"/>
        <c:majorTickMark val="none"/>
        <c:minorTickMark val="none"/>
        <c:tickLblPos val="nextTo"/>
        <c:crossAx val="907072687"/>
        <c:crosses val="autoZero"/>
        <c:crossBetween val="between"/>
      </c:valAx>
      <c:spPr>
        <a:noFill/>
        <a:ln>
          <a:noFill/>
        </a:ln>
        <a:effectLst/>
      </c:spPr>
    </c:plotArea>
    <c:plotVisOnly val="1"/>
    <c:dispBlanksAs val="gap"/>
    <c:showDLblsOverMax val="0"/>
  </c:chart>
  <c:spPr>
    <a:solidFill>
      <a:schemeClr val="accent5">
        <a:lumMod val="20000"/>
        <a:lumOff val="80000"/>
      </a:schemeClr>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r>
              <a:rPr lang="en-US" b="1"/>
              <a:t>TIPOLOGIAS I TRIMESTRE 2025</a:t>
            </a:r>
          </a:p>
        </c:rich>
      </c:tx>
      <c:overlay val="0"/>
      <c:spPr>
        <a:noFill/>
        <a:ln>
          <a:noFill/>
        </a:ln>
        <a:effectLst/>
      </c:spPr>
      <c:txPr>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es-CO"/>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0858961171154133"/>
          <c:y val="0.15144835083534022"/>
          <c:w val="0.89021125124846123"/>
          <c:h val="0.42427602799650044"/>
        </c:manualLayout>
      </c:layout>
      <c:bar3DChart>
        <c:barDir val="col"/>
        <c:grouping val="clustered"/>
        <c:varyColors val="0"/>
        <c:ser>
          <c:idx val="0"/>
          <c:order val="0"/>
          <c:tx>
            <c:strRef>
              <c:f>Hoja2!$F$6</c:f>
              <c:strCache>
                <c:ptCount val="1"/>
                <c:pt idx="0">
                  <c:v>ENERO</c:v>
                </c:pt>
              </c:strCache>
            </c:strRef>
          </c:tx>
          <c:spPr>
            <a:solidFill>
              <a:schemeClr val="accent1"/>
            </a:solidFill>
            <a:ln>
              <a:noFill/>
            </a:ln>
            <a:effectLst/>
            <a:sp3d/>
          </c:spPr>
          <c:invertIfNegative val="0"/>
          <c:cat>
            <c:strRef>
              <c:f>Hoja2!$E$7:$E$17</c:f>
              <c:strCache>
                <c:ptCount val="11"/>
                <c:pt idx="0">
                  <c:v>RECLAMO</c:v>
                </c:pt>
                <c:pt idx="1">
                  <c:v>DP_PARTICULAR</c:v>
                </c:pt>
                <c:pt idx="2">
                  <c:v>QUEJA</c:v>
                </c:pt>
                <c:pt idx="3">
                  <c:v>FELICITACIÓN</c:v>
                </c:pt>
                <c:pt idx="4">
                  <c:v>SOL_INFO</c:v>
                </c:pt>
                <c:pt idx="5">
                  <c:v>DP_GENERAL</c:v>
                </c:pt>
                <c:pt idx="6">
                  <c:v>SOL_COPIA</c:v>
                </c:pt>
                <c:pt idx="7">
                  <c:v>DENUNCIAS</c:v>
                </c:pt>
                <c:pt idx="8">
                  <c:v>SUGERENCIA</c:v>
                </c:pt>
                <c:pt idx="9">
                  <c:v>CONSULTA</c:v>
                </c:pt>
                <c:pt idx="10">
                  <c:v>Total </c:v>
                </c:pt>
              </c:strCache>
            </c:strRef>
          </c:cat>
          <c:val>
            <c:numRef>
              <c:f>Hoja2!$F$7:$F$17</c:f>
              <c:numCache>
                <c:formatCode>General</c:formatCode>
                <c:ptCount val="11"/>
                <c:pt idx="0">
                  <c:v>130</c:v>
                </c:pt>
                <c:pt idx="1">
                  <c:v>156</c:v>
                </c:pt>
                <c:pt idx="2">
                  <c:v>64</c:v>
                </c:pt>
                <c:pt idx="3">
                  <c:v>39</c:v>
                </c:pt>
                <c:pt idx="4">
                  <c:v>4</c:v>
                </c:pt>
                <c:pt idx="5">
                  <c:v>3</c:v>
                </c:pt>
                <c:pt idx="6">
                  <c:v>5</c:v>
                </c:pt>
                <c:pt idx="7">
                  <c:v>1</c:v>
                </c:pt>
                <c:pt idx="8">
                  <c:v>1</c:v>
                </c:pt>
                <c:pt idx="9">
                  <c:v>1</c:v>
                </c:pt>
                <c:pt idx="10">
                  <c:v>404</c:v>
                </c:pt>
              </c:numCache>
            </c:numRef>
          </c:val>
          <c:extLst>
            <c:ext xmlns:c16="http://schemas.microsoft.com/office/drawing/2014/chart" uri="{C3380CC4-5D6E-409C-BE32-E72D297353CC}">
              <c16:uniqueId val="{00000000-0A8C-4974-BE76-E5B8E1DB64B4}"/>
            </c:ext>
          </c:extLst>
        </c:ser>
        <c:ser>
          <c:idx val="1"/>
          <c:order val="1"/>
          <c:tx>
            <c:strRef>
              <c:f>Hoja2!$G$6</c:f>
              <c:strCache>
                <c:ptCount val="1"/>
                <c:pt idx="0">
                  <c:v>FEBRERO</c:v>
                </c:pt>
              </c:strCache>
            </c:strRef>
          </c:tx>
          <c:spPr>
            <a:solidFill>
              <a:schemeClr val="accent2"/>
            </a:solidFill>
            <a:ln>
              <a:noFill/>
            </a:ln>
            <a:effectLst/>
            <a:sp3d/>
          </c:spPr>
          <c:invertIfNegative val="0"/>
          <c:cat>
            <c:strRef>
              <c:f>Hoja2!$E$7:$E$17</c:f>
              <c:strCache>
                <c:ptCount val="11"/>
                <c:pt idx="0">
                  <c:v>RECLAMO</c:v>
                </c:pt>
                <c:pt idx="1">
                  <c:v>DP_PARTICULAR</c:v>
                </c:pt>
                <c:pt idx="2">
                  <c:v>QUEJA</c:v>
                </c:pt>
                <c:pt idx="3">
                  <c:v>FELICITACIÓN</c:v>
                </c:pt>
                <c:pt idx="4">
                  <c:v>SOL_INFO</c:v>
                </c:pt>
                <c:pt idx="5">
                  <c:v>DP_GENERAL</c:v>
                </c:pt>
                <c:pt idx="6">
                  <c:v>SOL_COPIA</c:v>
                </c:pt>
                <c:pt idx="7">
                  <c:v>DENUNCIAS</c:v>
                </c:pt>
                <c:pt idx="8">
                  <c:v>SUGERENCIA</c:v>
                </c:pt>
                <c:pt idx="9">
                  <c:v>CONSULTA</c:v>
                </c:pt>
                <c:pt idx="10">
                  <c:v>Total </c:v>
                </c:pt>
              </c:strCache>
            </c:strRef>
          </c:cat>
          <c:val>
            <c:numRef>
              <c:f>Hoja2!$G$7:$G$17</c:f>
              <c:numCache>
                <c:formatCode>General</c:formatCode>
                <c:ptCount val="11"/>
                <c:pt idx="0">
                  <c:v>261</c:v>
                </c:pt>
                <c:pt idx="1">
                  <c:v>163</c:v>
                </c:pt>
                <c:pt idx="2">
                  <c:v>82</c:v>
                </c:pt>
                <c:pt idx="3">
                  <c:v>38</c:v>
                </c:pt>
                <c:pt idx="4">
                  <c:v>10</c:v>
                </c:pt>
                <c:pt idx="5">
                  <c:v>6</c:v>
                </c:pt>
                <c:pt idx="6">
                  <c:v>13</c:v>
                </c:pt>
                <c:pt idx="7">
                  <c:v>1</c:v>
                </c:pt>
                <c:pt idx="8">
                  <c:v>3</c:v>
                </c:pt>
                <c:pt idx="9">
                  <c:v>0</c:v>
                </c:pt>
                <c:pt idx="10">
                  <c:v>577</c:v>
                </c:pt>
              </c:numCache>
            </c:numRef>
          </c:val>
          <c:extLst>
            <c:ext xmlns:c16="http://schemas.microsoft.com/office/drawing/2014/chart" uri="{C3380CC4-5D6E-409C-BE32-E72D297353CC}">
              <c16:uniqueId val="{00000001-0A8C-4974-BE76-E5B8E1DB64B4}"/>
            </c:ext>
          </c:extLst>
        </c:ser>
        <c:ser>
          <c:idx val="2"/>
          <c:order val="2"/>
          <c:tx>
            <c:strRef>
              <c:f>Hoja2!$H$6</c:f>
              <c:strCache>
                <c:ptCount val="1"/>
                <c:pt idx="0">
                  <c:v>MARZO</c:v>
                </c:pt>
              </c:strCache>
            </c:strRef>
          </c:tx>
          <c:spPr>
            <a:solidFill>
              <a:schemeClr val="accent3"/>
            </a:solidFill>
            <a:ln>
              <a:noFill/>
            </a:ln>
            <a:effectLst/>
            <a:sp3d/>
          </c:spPr>
          <c:invertIfNegative val="0"/>
          <c:cat>
            <c:strRef>
              <c:f>Hoja2!$E$7:$E$17</c:f>
              <c:strCache>
                <c:ptCount val="11"/>
                <c:pt idx="0">
                  <c:v>RECLAMO</c:v>
                </c:pt>
                <c:pt idx="1">
                  <c:v>DP_PARTICULAR</c:v>
                </c:pt>
                <c:pt idx="2">
                  <c:v>QUEJA</c:v>
                </c:pt>
                <c:pt idx="3">
                  <c:v>FELICITACIÓN</c:v>
                </c:pt>
                <c:pt idx="4">
                  <c:v>SOL_INFO</c:v>
                </c:pt>
                <c:pt idx="5">
                  <c:v>DP_GENERAL</c:v>
                </c:pt>
                <c:pt idx="6">
                  <c:v>SOL_COPIA</c:v>
                </c:pt>
                <c:pt idx="7">
                  <c:v>DENUNCIAS</c:v>
                </c:pt>
                <c:pt idx="8">
                  <c:v>SUGERENCIA</c:v>
                </c:pt>
                <c:pt idx="9">
                  <c:v>CONSULTA</c:v>
                </c:pt>
                <c:pt idx="10">
                  <c:v>Total </c:v>
                </c:pt>
              </c:strCache>
            </c:strRef>
          </c:cat>
          <c:val>
            <c:numRef>
              <c:f>Hoja2!$H$7:$H$17</c:f>
              <c:numCache>
                <c:formatCode>General</c:formatCode>
                <c:ptCount val="11"/>
                <c:pt idx="0">
                  <c:v>235</c:v>
                </c:pt>
                <c:pt idx="1">
                  <c:v>207</c:v>
                </c:pt>
                <c:pt idx="2">
                  <c:v>83</c:v>
                </c:pt>
                <c:pt idx="3">
                  <c:v>35</c:v>
                </c:pt>
                <c:pt idx="4">
                  <c:v>8</c:v>
                </c:pt>
                <c:pt idx="5">
                  <c:v>12</c:v>
                </c:pt>
                <c:pt idx="6">
                  <c:v>1</c:v>
                </c:pt>
                <c:pt idx="7">
                  <c:v>1</c:v>
                </c:pt>
                <c:pt idx="8">
                  <c:v>4</c:v>
                </c:pt>
                <c:pt idx="9">
                  <c:v>0</c:v>
                </c:pt>
                <c:pt idx="10">
                  <c:v>586</c:v>
                </c:pt>
              </c:numCache>
            </c:numRef>
          </c:val>
          <c:extLst>
            <c:ext xmlns:c16="http://schemas.microsoft.com/office/drawing/2014/chart" uri="{C3380CC4-5D6E-409C-BE32-E72D297353CC}">
              <c16:uniqueId val="{00000002-0A8C-4974-BE76-E5B8E1DB64B4}"/>
            </c:ext>
          </c:extLst>
        </c:ser>
        <c:ser>
          <c:idx val="3"/>
          <c:order val="3"/>
          <c:tx>
            <c:strRef>
              <c:f>Hoja2!$I$6</c:f>
              <c:strCache>
                <c:ptCount val="1"/>
                <c:pt idx="0">
                  <c:v>TOTAL</c:v>
                </c:pt>
              </c:strCache>
            </c:strRef>
          </c:tx>
          <c:spPr>
            <a:solidFill>
              <a:schemeClr val="accent4"/>
            </a:solidFill>
            <a:ln>
              <a:noFill/>
            </a:ln>
            <a:effectLst/>
            <a:sp3d/>
          </c:spPr>
          <c:invertIfNegative val="0"/>
          <c:cat>
            <c:strRef>
              <c:f>Hoja2!$E$7:$E$17</c:f>
              <c:strCache>
                <c:ptCount val="11"/>
                <c:pt idx="0">
                  <c:v>RECLAMO</c:v>
                </c:pt>
                <c:pt idx="1">
                  <c:v>DP_PARTICULAR</c:v>
                </c:pt>
                <c:pt idx="2">
                  <c:v>QUEJA</c:v>
                </c:pt>
                <c:pt idx="3">
                  <c:v>FELICITACIÓN</c:v>
                </c:pt>
                <c:pt idx="4">
                  <c:v>SOL_INFO</c:v>
                </c:pt>
                <c:pt idx="5">
                  <c:v>DP_GENERAL</c:v>
                </c:pt>
                <c:pt idx="6">
                  <c:v>SOL_COPIA</c:v>
                </c:pt>
                <c:pt idx="7">
                  <c:v>DENUNCIAS</c:v>
                </c:pt>
                <c:pt idx="8">
                  <c:v>SUGERENCIA</c:v>
                </c:pt>
                <c:pt idx="9">
                  <c:v>CONSULTA</c:v>
                </c:pt>
                <c:pt idx="10">
                  <c:v>Total </c:v>
                </c:pt>
              </c:strCache>
            </c:strRef>
          </c:cat>
          <c:val>
            <c:numRef>
              <c:f>Hoja2!$I$7:$I$17</c:f>
              <c:numCache>
                <c:formatCode>General</c:formatCode>
                <c:ptCount val="11"/>
                <c:pt idx="0">
                  <c:v>626</c:v>
                </c:pt>
                <c:pt idx="1">
                  <c:v>526</c:v>
                </c:pt>
                <c:pt idx="2">
                  <c:v>229</c:v>
                </c:pt>
                <c:pt idx="3">
                  <c:v>112</c:v>
                </c:pt>
                <c:pt idx="4">
                  <c:v>22</c:v>
                </c:pt>
                <c:pt idx="5">
                  <c:v>21</c:v>
                </c:pt>
                <c:pt idx="6">
                  <c:v>19</c:v>
                </c:pt>
                <c:pt idx="7">
                  <c:v>3</c:v>
                </c:pt>
                <c:pt idx="8">
                  <c:v>8</c:v>
                </c:pt>
                <c:pt idx="9">
                  <c:v>1</c:v>
                </c:pt>
                <c:pt idx="10">
                  <c:v>1567</c:v>
                </c:pt>
              </c:numCache>
            </c:numRef>
          </c:val>
          <c:extLst>
            <c:ext xmlns:c16="http://schemas.microsoft.com/office/drawing/2014/chart" uri="{C3380CC4-5D6E-409C-BE32-E72D297353CC}">
              <c16:uniqueId val="{00000003-0A8C-4974-BE76-E5B8E1DB64B4}"/>
            </c:ext>
          </c:extLst>
        </c:ser>
        <c:dLbls>
          <c:showLegendKey val="0"/>
          <c:showVal val="0"/>
          <c:showCatName val="0"/>
          <c:showSerName val="0"/>
          <c:showPercent val="0"/>
          <c:showBubbleSize val="0"/>
        </c:dLbls>
        <c:gapWidth val="150"/>
        <c:shape val="box"/>
        <c:axId val="955578895"/>
        <c:axId val="908247119"/>
        <c:axId val="0"/>
      </c:bar3DChart>
      <c:catAx>
        <c:axId val="955578895"/>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CO"/>
          </a:p>
        </c:txPr>
        <c:crossAx val="908247119"/>
        <c:crosses val="autoZero"/>
        <c:auto val="1"/>
        <c:lblAlgn val="ctr"/>
        <c:lblOffset val="100"/>
        <c:noMultiLvlLbl val="0"/>
      </c:catAx>
      <c:valAx>
        <c:axId val="908247119"/>
        <c:scaling>
          <c:orientation val="minMax"/>
        </c:scaling>
        <c:delete val="1"/>
        <c:axPos val="l"/>
        <c:numFmt formatCode="General" sourceLinked="1"/>
        <c:majorTickMark val="none"/>
        <c:minorTickMark val="none"/>
        <c:tickLblPos val="nextTo"/>
        <c:crossAx val="955578895"/>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800" b="0" i="0" u="none" strike="noStrike" kern="1200" baseline="0">
                <a:solidFill>
                  <a:schemeClr val="tx1">
                    <a:lumMod val="65000"/>
                    <a:lumOff val="35000"/>
                  </a:schemeClr>
                </a:solidFill>
                <a:latin typeface="+mn-lt"/>
                <a:ea typeface="+mn-ea"/>
                <a:cs typeface="+mn-cs"/>
              </a:defRPr>
            </a:pPr>
            <a:endParaRPr lang="es-CO"/>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rgbClr val="4472C4">
        <a:lumMod val="20000"/>
        <a:lumOff val="80000"/>
      </a:srgbClr>
    </a:solidFill>
    <a:ln w="9525" cap="flat" cmpd="sng" algn="ctr">
      <a:solidFill>
        <a:schemeClr val="tx1">
          <a:lumMod val="15000"/>
          <a:lumOff val="85000"/>
        </a:schemeClr>
      </a:solidFill>
      <a:round/>
    </a:ln>
    <a:effectLst/>
  </c:spPr>
  <c:txPr>
    <a:bodyPr/>
    <a:lstStyle/>
    <a:p>
      <a:pPr>
        <a:defRPr/>
      </a:pPr>
      <a:endParaRPr lang="es-CO"/>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withinLinear" id="17">
  <a:schemeClr val="accent4"/>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Narrow"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91</TotalTime>
  <Pages>6</Pages>
  <Words>1348</Words>
  <Characters>7420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RUU-PQR-002</dc:creator>
  <cp:keywords/>
  <dc:description/>
  <cp:lastModifiedBy>RUU-PQR-002</cp:lastModifiedBy>
  <cp:revision>12</cp:revision>
  <dcterms:created xsi:type="dcterms:W3CDTF">2025-05-07T14:55:00Z</dcterms:created>
  <dcterms:modified xsi:type="dcterms:W3CDTF">2025-05-07T16:38:00Z</dcterms:modified>
</cp:coreProperties>
</file>